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79" w:rsidRDefault="00A00479" w:rsidP="00FD30AF">
      <w:pPr>
        <w:pStyle w:val="Heading1"/>
        <w:spacing w:line="360" w:lineRule="auto"/>
        <w:jc w:val="center"/>
        <w:rPr>
          <w:rFonts w:ascii="Times New Roman" w:hAnsi="Times New Roman"/>
        </w:rPr>
      </w:pPr>
      <w:bookmarkStart w:id="0" w:name="OLE_LINK1"/>
      <w:bookmarkStart w:id="1" w:name="OLE_LINK2"/>
      <w:r w:rsidRPr="00D92694">
        <w:rPr>
          <w:rFonts w:ascii="Times New Roman" w:hAnsi="Times New Roman" w:cs="Times New Roman"/>
        </w:rPr>
        <w:t xml:space="preserve">The Impact of </w:t>
      </w:r>
      <w:r>
        <w:rPr>
          <w:rFonts w:ascii="Times New Roman" w:hAnsi="Times New Roman" w:cs="Times New Roman"/>
        </w:rPr>
        <w:t>Trade</w:t>
      </w:r>
      <w:r w:rsidRPr="00D92694">
        <w:rPr>
          <w:rFonts w:ascii="Times New Roman" w:hAnsi="Times New Roman" w:cs="Times New Roman"/>
        </w:rPr>
        <w:t xml:space="preserve"> Barriers on Export Strategies: Evidence from India</w:t>
      </w:r>
      <w:bookmarkEnd w:id="0"/>
      <w:bookmarkEnd w:id="1"/>
    </w:p>
    <w:p w:rsidR="00A00479" w:rsidRDefault="00A00479" w:rsidP="00945267"/>
    <w:p w:rsidR="00A00479" w:rsidRPr="00945267" w:rsidRDefault="00A00479" w:rsidP="00945267">
      <w:pPr>
        <w:jc w:val="center"/>
        <w:rPr>
          <w:lang w:val="es-ES_tradnl"/>
        </w:rPr>
      </w:pPr>
      <w:r w:rsidRPr="00945267">
        <w:rPr>
          <w:lang w:val="es-ES_tradnl"/>
        </w:rPr>
        <w:t>Sangeeta Khorana</w:t>
      </w:r>
      <w:r w:rsidRPr="00D821F4">
        <w:rPr>
          <w:rStyle w:val="FootnoteReference"/>
        </w:rPr>
        <w:footnoteReference w:customMarkFollows="1" w:id="2"/>
        <w:sym w:font="Symbol" w:char="F02A"/>
      </w:r>
    </w:p>
    <w:p w:rsidR="00A00479" w:rsidRPr="00945267" w:rsidRDefault="00A00479" w:rsidP="00945267">
      <w:pPr>
        <w:jc w:val="center"/>
        <w:rPr>
          <w:lang w:val="es-ES_tradnl"/>
        </w:rPr>
      </w:pPr>
    </w:p>
    <w:p w:rsidR="00A00479" w:rsidRPr="00945267" w:rsidRDefault="00A00479" w:rsidP="00945267">
      <w:pPr>
        <w:jc w:val="center"/>
        <w:rPr>
          <w:lang w:val="es-ES_tradnl"/>
        </w:rPr>
      </w:pPr>
      <w:r w:rsidRPr="00945267">
        <w:rPr>
          <w:lang w:val="es-ES_tradnl"/>
        </w:rPr>
        <w:t>Thanos Verousis</w:t>
      </w:r>
      <w:r w:rsidRPr="00945267">
        <w:rPr>
          <w:rStyle w:val="FootnoteReference"/>
        </w:rPr>
        <w:footnoteReference w:customMarkFollows="1" w:id="3"/>
        <w:sym w:font="Symbol" w:char="F02A"/>
      </w:r>
      <w:r w:rsidRPr="00945267">
        <w:rPr>
          <w:rStyle w:val="FootnoteReference"/>
        </w:rPr>
        <w:sym w:font="Symbol" w:char="F02A"/>
      </w:r>
    </w:p>
    <w:p w:rsidR="00A00479" w:rsidRPr="00945267" w:rsidRDefault="00A00479" w:rsidP="00945267">
      <w:pPr>
        <w:jc w:val="center"/>
        <w:rPr>
          <w:lang w:val="es-ES_tradnl"/>
        </w:rPr>
      </w:pPr>
    </w:p>
    <w:p w:rsidR="00A00479" w:rsidRPr="00945267" w:rsidRDefault="00A00479" w:rsidP="00945267">
      <w:pPr>
        <w:jc w:val="center"/>
        <w:rPr>
          <w:lang w:val="es-ES_tradnl"/>
        </w:rPr>
      </w:pPr>
      <w:r w:rsidRPr="00945267">
        <w:rPr>
          <w:lang w:val="es-ES_tradnl"/>
        </w:rPr>
        <w:t>Nicholas Perdikis</w:t>
      </w:r>
      <w:r w:rsidRPr="00945267">
        <w:rPr>
          <w:rStyle w:val="FootnoteReference"/>
          <w:lang w:val="es-ES_tradnl"/>
        </w:rPr>
        <w:footnoteReference w:customMarkFollows="1" w:id="4"/>
        <w:sym w:font="Symbol" w:char="F0A7"/>
      </w:r>
    </w:p>
    <w:p w:rsidR="00A00479" w:rsidRDefault="00A00479" w:rsidP="00945267">
      <w:pPr>
        <w:jc w:val="center"/>
        <w:rPr>
          <w:b/>
          <w:lang w:val="es-ES_tradnl"/>
        </w:rPr>
      </w:pPr>
    </w:p>
    <w:p w:rsidR="002D4284" w:rsidRDefault="002D4284" w:rsidP="00945267">
      <w:pPr>
        <w:jc w:val="center"/>
        <w:rPr>
          <w:b/>
          <w:lang w:val="es-ES_tradnl"/>
        </w:rPr>
      </w:pPr>
    </w:p>
    <w:p w:rsidR="00A00479" w:rsidRPr="00945267" w:rsidRDefault="00A00479" w:rsidP="00945267">
      <w:pPr>
        <w:jc w:val="center"/>
        <w:rPr>
          <w:b/>
          <w:lang w:val="es-ES_tradnl"/>
        </w:rPr>
      </w:pPr>
    </w:p>
    <w:p w:rsidR="00A00479" w:rsidRPr="00945267" w:rsidRDefault="00A00479" w:rsidP="00945267">
      <w:pPr>
        <w:rPr>
          <w:b/>
          <w:lang w:val="es-ES_tradnl"/>
        </w:rPr>
      </w:pPr>
      <w:r w:rsidRPr="00945267">
        <w:rPr>
          <w:b/>
          <w:lang w:val="es-ES_tradnl"/>
        </w:rPr>
        <w:t>Abstract:</w:t>
      </w:r>
    </w:p>
    <w:p w:rsidR="00A00479" w:rsidRPr="00945267" w:rsidRDefault="00A00479" w:rsidP="00945267">
      <w:pPr>
        <w:rPr>
          <w:b/>
          <w:lang w:val="es-ES_tradnl"/>
        </w:rPr>
      </w:pPr>
    </w:p>
    <w:p w:rsidR="00A00479" w:rsidRDefault="00A00479" w:rsidP="00ED7428">
      <w:pPr>
        <w:spacing w:line="360" w:lineRule="auto"/>
        <w:jc w:val="both"/>
      </w:pPr>
      <w:r w:rsidRPr="00945267">
        <w:t xml:space="preserve">The European Union (EU) and India are currently negotiating a bilateral free trade agreement (FTA) </w:t>
      </w:r>
      <w:r w:rsidR="002F5A52">
        <w:t xml:space="preserve">that aims to eliminate </w:t>
      </w:r>
      <w:r w:rsidR="002863D8">
        <w:t>tariffs and other b</w:t>
      </w:r>
      <w:r w:rsidR="002F5A52">
        <w:t>arriers to trade</w:t>
      </w:r>
      <w:r w:rsidRPr="00945267">
        <w:t>.</w:t>
      </w:r>
      <w:r w:rsidR="00D92CF5">
        <w:t xml:space="preserve"> This paper identifies</w:t>
      </w:r>
      <w:r>
        <w:t xml:space="preserve"> </w:t>
      </w:r>
      <w:r w:rsidR="002863D8">
        <w:t xml:space="preserve">export </w:t>
      </w:r>
      <w:r w:rsidR="00D92CF5">
        <w:t xml:space="preserve">problems faced by Indian </w:t>
      </w:r>
      <w:r w:rsidR="002863D8">
        <w:t>firms</w:t>
      </w:r>
      <w:r w:rsidR="00D92CF5">
        <w:t xml:space="preserve"> i</w:t>
      </w:r>
      <w:r>
        <w:t>n the EU</w:t>
      </w:r>
      <w:r w:rsidR="002863D8">
        <w:t xml:space="preserve">. Using </w:t>
      </w:r>
      <w:r w:rsidR="005B5C8B">
        <w:t>factor</w:t>
      </w:r>
      <w:r w:rsidR="002863D8">
        <w:t xml:space="preserve"> and cluster analysis (SPSS version 16), t</w:t>
      </w:r>
      <w:r w:rsidR="00D92CF5">
        <w:t>he results show exporting firms largely encounter e</w:t>
      </w:r>
      <w:r w:rsidR="00D92CF5" w:rsidRPr="00D92694">
        <w:t>xter</w:t>
      </w:r>
      <w:r w:rsidR="00D92CF5">
        <w:t>nal-foreign problems such as regulation and standards as well as customs and administrative formalities</w:t>
      </w:r>
      <w:r w:rsidR="00D92CF5" w:rsidRPr="00D92CF5">
        <w:t xml:space="preserve"> </w:t>
      </w:r>
      <w:r w:rsidR="00D92CF5">
        <w:t xml:space="preserve">that impacts on </w:t>
      </w:r>
      <w:r w:rsidR="002863D8">
        <w:t>firms</w:t>
      </w:r>
      <w:r w:rsidR="00D30752">
        <w:t>’</w:t>
      </w:r>
      <w:r w:rsidR="002863D8">
        <w:t xml:space="preserve"> strategy orientation</w:t>
      </w:r>
      <w:r w:rsidR="00D92CF5">
        <w:t xml:space="preserve">. </w:t>
      </w:r>
      <w:r w:rsidR="002863D8">
        <w:t>From a policy perspective, addressing export problems</w:t>
      </w:r>
      <w:r w:rsidR="002863D8" w:rsidRPr="00D92694">
        <w:t xml:space="preserve"> </w:t>
      </w:r>
      <w:r w:rsidR="002863D8">
        <w:t>are crucial within the ambit of ongoing FTA negotiations</w:t>
      </w:r>
      <w:r w:rsidR="00D30752">
        <w:t xml:space="preserve"> and </w:t>
      </w:r>
      <w:r w:rsidR="00D92CF5">
        <w:t xml:space="preserve">that </w:t>
      </w:r>
      <w:r w:rsidRPr="00AC248E">
        <w:t xml:space="preserve">if </w:t>
      </w:r>
      <w:r w:rsidR="002863D8">
        <w:t>the proposed FTA is</w:t>
      </w:r>
      <w:r w:rsidRPr="00AC248E">
        <w:t xml:space="preserve"> to achieve </w:t>
      </w:r>
      <w:r w:rsidR="002863D8">
        <w:t>its</w:t>
      </w:r>
      <w:r w:rsidRPr="00AC248E">
        <w:t xml:space="preserve"> potential and bestow benefits</w:t>
      </w:r>
      <w:r w:rsidR="002863D8">
        <w:t xml:space="preserve"> to exporters</w:t>
      </w:r>
      <w:r w:rsidR="00D30752">
        <w:t>,</w:t>
      </w:r>
      <w:r w:rsidR="002863D8">
        <w:t xml:space="preserve"> the governments may have to play a proactive role to help</w:t>
      </w:r>
      <w:r w:rsidRPr="00AC248E">
        <w:t xml:space="preserve"> </w:t>
      </w:r>
      <w:r w:rsidR="002863D8">
        <w:t>firms</w:t>
      </w:r>
      <w:r w:rsidR="00D92CF5">
        <w:t xml:space="preserve"> </w:t>
      </w:r>
      <w:r w:rsidRPr="00AC248E">
        <w:t>overcom</w:t>
      </w:r>
      <w:r>
        <w:t>e</w:t>
      </w:r>
      <w:r w:rsidRPr="00AC248E">
        <w:t xml:space="preserve"> </w:t>
      </w:r>
      <w:r w:rsidR="002863D8">
        <w:t xml:space="preserve">export </w:t>
      </w:r>
      <w:r w:rsidRPr="00AC248E">
        <w:t>problems</w:t>
      </w:r>
      <w:r w:rsidR="00D92CF5">
        <w:t xml:space="preserve">. </w:t>
      </w:r>
    </w:p>
    <w:p w:rsidR="00A00479" w:rsidRDefault="00A00479" w:rsidP="00945267"/>
    <w:p w:rsidR="00A00479" w:rsidRPr="00945267" w:rsidRDefault="00A00479" w:rsidP="00945267">
      <w:pPr>
        <w:rPr>
          <w:b/>
        </w:rPr>
      </w:pPr>
    </w:p>
    <w:p w:rsidR="00A00479" w:rsidRPr="00945267" w:rsidRDefault="00A00479" w:rsidP="00945267">
      <w:pPr>
        <w:jc w:val="both"/>
      </w:pPr>
      <w:r w:rsidRPr="00945267">
        <w:rPr>
          <w:i/>
        </w:rPr>
        <w:t>JEL classification</w:t>
      </w:r>
      <w:r w:rsidRPr="00945267">
        <w:t>: F15, O19, M38</w:t>
      </w:r>
    </w:p>
    <w:p w:rsidR="00A00479" w:rsidRPr="00945267" w:rsidRDefault="00A00479" w:rsidP="00945267">
      <w:pPr>
        <w:jc w:val="both"/>
      </w:pPr>
      <w:r w:rsidRPr="00945267">
        <w:rPr>
          <w:i/>
        </w:rPr>
        <w:t>Keywords</w:t>
      </w:r>
      <w:r w:rsidRPr="00945267">
        <w:t>: Integration, development, government policy and regulation</w:t>
      </w:r>
    </w:p>
    <w:p w:rsidR="00A00479" w:rsidRPr="00945267" w:rsidRDefault="00A00479" w:rsidP="00945267">
      <w:pPr>
        <w:rPr>
          <w:b/>
        </w:rPr>
      </w:pPr>
    </w:p>
    <w:p w:rsidR="00A00479" w:rsidRPr="00945267" w:rsidRDefault="00A00479" w:rsidP="00945267">
      <w:pPr>
        <w:rPr>
          <w:b/>
        </w:rPr>
      </w:pPr>
    </w:p>
    <w:p w:rsidR="00A00479" w:rsidRPr="00AD524D" w:rsidRDefault="00A00479" w:rsidP="00945267">
      <w:r w:rsidRPr="002D4284">
        <w:t>Draft version</w:t>
      </w:r>
      <w:r w:rsidR="002D4284">
        <w:t xml:space="preserve"> for </w:t>
      </w:r>
      <w:r w:rsidRPr="00AD524D">
        <w:t>Ecomod</w:t>
      </w:r>
      <w:r>
        <w:t xml:space="preserve"> Conference 2010</w:t>
      </w:r>
    </w:p>
    <w:p w:rsidR="00A00479" w:rsidRPr="00945267" w:rsidRDefault="00A00479" w:rsidP="00945267">
      <w:pPr>
        <w:rPr>
          <w:sz w:val="20"/>
          <w:szCs w:val="20"/>
        </w:rPr>
      </w:pPr>
      <w:r w:rsidRPr="00945267">
        <w:rPr>
          <w:b/>
        </w:rPr>
        <w:br w:type="page"/>
      </w:r>
    </w:p>
    <w:p w:rsidR="00A00479" w:rsidRPr="00D92694" w:rsidRDefault="00A00479" w:rsidP="00B47F93">
      <w:pPr>
        <w:pStyle w:val="Heading2"/>
        <w:numPr>
          <w:ilvl w:val="0"/>
          <w:numId w:val="5"/>
        </w:numPr>
        <w:spacing w:line="360" w:lineRule="auto"/>
        <w:jc w:val="both"/>
        <w:rPr>
          <w:rFonts w:ascii="Times New Roman" w:hAnsi="Times New Roman" w:cs="Times New Roman"/>
        </w:rPr>
      </w:pPr>
      <w:r w:rsidRPr="00D92694">
        <w:rPr>
          <w:rFonts w:ascii="Times New Roman" w:hAnsi="Times New Roman" w:cs="Times New Roman"/>
        </w:rPr>
        <w:t>Introduction</w:t>
      </w:r>
    </w:p>
    <w:p w:rsidR="00D712EE" w:rsidRDefault="00A00479" w:rsidP="00AC248E">
      <w:pPr>
        <w:pStyle w:val="FootnoteText"/>
        <w:spacing w:after="0" w:line="360" w:lineRule="auto"/>
        <w:jc w:val="both"/>
        <w:rPr>
          <w:rFonts w:ascii="Times New Roman" w:hAnsi="Times New Roman"/>
          <w:sz w:val="24"/>
          <w:szCs w:val="24"/>
        </w:rPr>
      </w:pPr>
      <w:r w:rsidRPr="00AC248E">
        <w:rPr>
          <w:rFonts w:ascii="Times New Roman" w:hAnsi="Times New Roman"/>
          <w:sz w:val="24"/>
          <w:szCs w:val="24"/>
        </w:rPr>
        <w:t xml:space="preserve">There is a growing body of literature on the impact of both globalisation and regional integration agreements on international business as well as on the issue of internationalisation of firms via exporting (Hamel </w:t>
      </w:r>
      <w:r w:rsidR="004558E6">
        <w:rPr>
          <w:rFonts w:ascii="Times New Roman" w:hAnsi="Times New Roman"/>
          <w:sz w:val="24"/>
          <w:szCs w:val="24"/>
        </w:rPr>
        <w:t>&amp;</w:t>
      </w:r>
      <w:r w:rsidRPr="00AC248E">
        <w:rPr>
          <w:rFonts w:ascii="Times New Roman" w:hAnsi="Times New Roman"/>
          <w:sz w:val="24"/>
          <w:szCs w:val="24"/>
        </w:rPr>
        <w:t xml:space="preserve"> Prahalad, 1996; Morrison </w:t>
      </w:r>
      <w:r w:rsidRPr="004558E6">
        <w:rPr>
          <w:rFonts w:ascii="Times New Roman" w:hAnsi="Times New Roman"/>
          <w:i/>
          <w:sz w:val="24"/>
          <w:szCs w:val="24"/>
        </w:rPr>
        <w:t>et al</w:t>
      </w:r>
      <w:r w:rsidRPr="00AC248E">
        <w:rPr>
          <w:rFonts w:ascii="Times New Roman" w:hAnsi="Times New Roman"/>
          <w:sz w:val="24"/>
          <w:szCs w:val="24"/>
        </w:rPr>
        <w:t xml:space="preserve">, 1998; Falbe </w:t>
      </w:r>
      <w:r w:rsidR="004558E6">
        <w:rPr>
          <w:rFonts w:ascii="Times New Roman" w:hAnsi="Times New Roman"/>
          <w:sz w:val="24"/>
          <w:szCs w:val="24"/>
        </w:rPr>
        <w:t>&amp;</w:t>
      </w:r>
      <w:r w:rsidRPr="00AC248E">
        <w:rPr>
          <w:rFonts w:ascii="Times New Roman" w:hAnsi="Times New Roman"/>
          <w:sz w:val="24"/>
          <w:szCs w:val="24"/>
        </w:rPr>
        <w:t xml:space="preserve"> W</w:t>
      </w:r>
      <w:r w:rsidR="005F1575">
        <w:rPr>
          <w:rFonts w:ascii="Times New Roman" w:hAnsi="Times New Roman"/>
          <w:sz w:val="24"/>
          <w:szCs w:val="24"/>
        </w:rPr>
        <w:t>e</w:t>
      </w:r>
      <w:r w:rsidRPr="00AC248E">
        <w:rPr>
          <w:rFonts w:ascii="Times New Roman" w:hAnsi="Times New Roman"/>
          <w:sz w:val="24"/>
          <w:szCs w:val="24"/>
        </w:rPr>
        <w:t xml:space="preserve">lsh 1998; Pett </w:t>
      </w:r>
      <w:r w:rsidR="004558E6">
        <w:rPr>
          <w:rFonts w:ascii="Times New Roman" w:hAnsi="Times New Roman"/>
          <w:sz w:val="24"/>
          <w:szCs w:val="24"/>
        </w:rPr>
        <w:t xml:space="preserve">&amp; </w:t>
      </w:r>
      <w:r w:rsidRPr="00AC248E">
        <w:rPr>
          <w:rFonts w:ascii="Times New Roman" w:hAnsi="Times New Roman"/>
          <w:sz w:val="24"/>
          <w:szCs w:val="24"/>
        </w:rPr>
        <w:t>Wolff, 2000; 2003</w:t>
      </w:r>
      <w:r w:rsidR="004558E6">
        <w:rPr>
          <w:rFonts w:ascii="Times New Roman" w:hAnsi="Times New Roman"/>
          <w:sz w:val="24"/>
          <w:szCs w:val="24"/>
        </w:rPr>
        <w:t>;</w:t>
      </w:r>
      <w:r w:rsidRPr="00AC248E">
        <w:rPr>
          <w:rFonts w:ascii="Times New Roman" w:hAnsi="Times New Roman"/>
          <w:sz w:val="24"/>
          <w:szCs w:val="24"/>
        </w:rPr>
        <w:t xml:space="preserve"> Keddia </w:t>
      </w:r>
      <w:r w:rsidR="004558E6">
        <w:rPr>
          <w:rFonts w:ascii="Times New Roman" w:hAnsi="Times New Roman"/>
          <w:sz w:val="24"/>
          <w:szCs w:val="24"/>
        </w:rPr>
        <w:t xml:space="preserve">&amp; </w:t>
      </w:r>
      <w:r w:rsidRPr="00AC248E">
        <w:rPr>
          <w:rFonts w:ascii="Times New Roman" w:hAnsi="Times New Roman"/>
          <w:sz w:val="24"/>
          <w:szCs w:val="24"/>
        </w:rPr>
        <w:t xml:space="preserve">Chhoker, 1986; </w:t>
      </w:r>
      <w:r w:rsidR="005F1575">
        <w:rPr>
          <w:rFonts w:ascii="Times New Roman" w:hAnsi="Times New Roman"/>
          <w:sz w:val="24"/>
          <w:szCs w:val="24"/>
        </w:rPr>
        <w:t xml:space="preserve">Bell, 1995; </w:t>
      </w:r>
      <w:r w:rsidR="004558E6">
        <w:rPr>
          <w:rFonts w:ascii="Times New Roman" w:hAnsi="Times New Roman"/>
          <w:sz w:val="24"/>
          <w:szCs w:val="24"/>
        </w:rPr>
        <w:t xml:space="preserve">Leonidou 1995a, b; Leonidou &amp; </w:t>
      </w:r>
      <w:r w:rsidRPr="00AC248E">
        <w:rPr>
          <w:rFonts w:ascii="Times New Roman" w:hAnsi="Times New Roman"/>
          <w:sz w:val="24"/>
          <w:szCs w:val="24"/>
        </w:rPr>
        <w:t>Katsikeas</w:t>
      </w:r>
      <w:r w:rsidR="005F1575">
        <w:rPr>
          <w:rFonts w:ascii="Times New Roman" w:hAnsi="Times New Roman"/>
          <w:sz w:val="24"/>
          <w:szCs w:val="24"/>
        </w:rPr>
        <w:t>, 1996; Morgan</w:t>
      </w:r>
      <w:r w:rsidRPr="00AC248E">
        <w:rPr>
          <w:rFonts w:ascii="Times New Roman" w:hAnsi="Times New Roman"/>
          <w:sz w:val="24"/>
          <w:szCs w:val="24"/>
        </w:rPr>
        <w:t>, 1</w:t>
      </w:r>
      <w:r w:rsidR="004558E6">
        <w:rPr>
          <w:rFonts w:ascii="Times New Roman" w:hAnsi="Times New Roman"/>
          <w:sz w:val="24"/>
          <w:szCs w:val="24"/>
        </w:rPr>
        <w:t xml:space="preserve">997). Studies that identify </w:t>
      </w:r>
      <w:r w:rsidRPr="00AC248E">
        <w:rPr>
          <w:rFonts w:ascii="Times New Roman" w:hAnsi="Times New Roman"/>
          <w:sz w:val="24"/>
          <w:szCs w:val="24"/>
        </w:rPr>
        <w:t xml:space="preserve">problems firms face in exporting are scarce and relatively out dated </w:t>
      </w:r>
      <w:r w:rsidR="00D712EE">
        <w:rPr>
          <w:rFonts w:ascii="Times New Roman" w:hAnsi="Times New Roman"/>
          <w:sz w:val="24"/>
          <w:szCs w:val="24"/>
        </w:rPr>
        <w:t xml:space="preserve">and do not address the changing business environment </w:t>
      </w:r>
      <w:r w:rsidR="004558E6">
        <w:rPr>
          <w:rFonts w:ascii="Times New Roman" w:hAnsi="Times New Roman"/>
          <w:sz w:val="24"/>
          <w:szCs w:val="24"/>
        </w:rPr>
        <w:t xml:space="preserve">as a result of </w:t>
      </w:r>
      <w:r w:rsidR="00D712EE">
        <w:rPr>
          <w:rFonts w:ascii="Times New Roman" w:hAnsi="Times New Roman"/>
          <w:sz w:val="24"/>
          <w:szCs w:val="24"/>
        </w:rPr>
        <w:t xml:space="preserve">increasing </w:t>
      </w:r>
      <w:r w:rsidRPr="00AC248E">
        <w:rPr>
          <w:rFonts w:ascii="Times New Roman" w:hAnsi="Times New Roman"/>
          <w:sz w:val="24"/>
          <w:szCs w:val="24"/>
        </w:rPr>
        <w:t xml:space="preserve">bilateral and regional </w:t>
      </w:r>
      <w:r w:rsidR="00D712EE">
        <w:rPr>
          <w:rFonts w:ascii="Times New Roman" w:hAnsi="Times New Roman"/>
          <w:sz w:val="24"/>
          <w:szCs w:val="24"/>
        </w:rPr>
        <w:t xml:space="preserve">trade </w:t>
      </w:r>
      <w:r w:rsidRPr="00AC248E">
        <w:rPr>
          <w:rFonts w:ascii="Times New Roman" w:hAnsi="Times New Roman"/>
          <w:sz w:val="24"/>
          <w:szCs w:val="24"/>
        </w:rPr>
        <w:t>agreements</w:t>
      </w:r>
      <w:r w:rsidR="004558E6">
        <w:rPr>
          <w:rFonts w:ascii="Times New Roman" w:hAnsi="Times New Roman"/>
          <w:sz w:val="24"/>
          <w:szCs w:val="24"/>
        </w:rPr>
        <w:t xml:space="preserve"> </w:t>
      </w:r>
      <w:r w:rsidR="004558E6" w:rsidRPr="00AC248E">
        <w:rPr>
          <w:rFonts w:ascii="Times New Roman" w:hAnsi="Times New Roman"/>
          <w:sz w:val="24"/>
          <w:szCs w:val="24"/>
        </w:rPr>
        <w:t xml:space="preserve">(Bauerschmidt </w:t>
      </w:r>
      <w:r w:rsidR="004558E6" w:rsidRPr="005F1575">
        <w:rPr>
          <w:rFonts w:ascii="Times New Roman" w:hAnsi="Times New Roman"/>
          <w:i/>
          <w:sz w:val="24"/>
          <w:szCs w:val="24"/>
        </w:rPr>
        <w:t>et al</w:t>
      </w:r>
      <w:r w:rsidR="004558E6" w:rsidRPr="00AC248E">
        <w:rPr>
          <w:rFonts w:ascii="Times New Roman" w:hAnsi="Times New Roman"/>
          <w:sz w:val="24"/>
          <w:szCs w:val="24"/>
        </w:rPr>
        <w:t xml:space="preserve">., 1985; Yang, 1988; Sharkey </w:t>
      </w:r>
      <w:r w:rsidR="004558E6" w:rsidRPr="005F1575">
        <w:rPr>
          <w:rFonts w:ascii="Times New Roman" w:hAnsi="Times New Roman"/>
          <w:i/>
          <w:sz w:val="24"/>
          <w:szCs w:val="24"/>
        </w:rPr>
        <w:t>et al</w:t>
      </w:r>
      <w:r w:rsidR="004558E6" w:rsidRPr="00AC248E">
        <w:rPr>
          <w:rFonts w:ascii="Times New Roman" w:hAnsi="Times New Roman"/>
          <w:sz w:val="24"/>
          <w:szCs w:val="24"/>
        </w:rPr>
        <w:t xml:space="preserve">., 1989; Gripsrud, 1990; Ramaswami </w:t>
      </w:r>
      <w:r w:rsidR="004558E6">
        <w:rPr>
          <w:rFonts w:ascii="Times New Roman" w:hAnsi="Times New Roman"/>
          <w:sz w:val="24"/>
          <w:szCs w:val="24"/>
        </w:rPr>
        <w:t xml:space="preserve">&amp; </w:t>
      </w:r>
      <w:r w:rsidR="004558E6" w:rsidRPr="00AC248E">
        <w:rPr>
          <w:rFonts w:ascii="Times New Roman" w:hAnsi="Times New Roman"/>
          <w:sz w:val="24"/>
          <w:szCs w:val="24"/>
        </w:rPr>
        <w:t xml:space="preserve">Yang, 1990; Yang </w:t>
      </w:r>
      <w:r w:rsidR="004558E6" w:rsidRPr="005F1575">
        <w:rPr>
          <w:rFonts w:ascii="Times New Roman" w:hAnsi="Times New Roman"/>
          <w:i/>
          <w:sz w:val="24"/>
          <w:szCs w:val="24"/>
        </w:rPr>
        <w:t>et al.,</w:t>
      </w:r>
      <w:r w:rsidR="004558E6">
        <w:rPr>
          <w:rFonts w:ascii="Times New Roman" w:hAnsi="Times New Roman"/>
          <w:sz w:val="24"/>
          <w:szCs w:val="24"/>
        </w:rPr>
        <w:t xml:space="preserve"> 1992)</w:t>
      </w:r>
      <w:r w:rsidR="00D712EE">
        <w:rPr>
          <w:rFonts w:ascii="Times New Roman" w:hAnsi="Times New Roman"/>
          <w:sz w:val="24"/>
          <w:szCs w:val="24"/>
        </w:rPr>
        <w:t>. T</w:t>
      </w:r>
      <w:r w:rsidR="00D712EE" w:rsidRPr="00AC248E">
        <w:rPr>
          <w:rFonts w:ascii="Times New Roman" w:hAnsi="Times New Roman"/>
          <w:sz w:val="24"/>
          <w:szCs w:val="24"/>
        </w:rPr>
        <w:t xml:space="preserve">he European Union (EU) and India are </w:t>
      </w:r>
      <w:r w:rsidR="00D712EE">
        <w:rPr>
          <w:rFonts w:ascii="Times New Roman" w:hAnsi="Times New Roman"/>
          <w:sz w:val="24"/>
          <w:szCs w:val="24"/>
        </w:rPr>
        <w:t xml:space="preserve">presently </w:t>
      </w:r>
      <w:r w:rsidR="00D712EE" w:rsidRPr="00AC248E">
        <w:rPr>
          <w:rFonts w:ascii="Times New Roman" w:hAnsi="Times New Roman"/>
          <w:sz w:val="24"/>
          <w:szCs w:val="24"/>
        </w:rPr>
        <w:t xml:space="preserve">negotiating a free trade agreement (FTA), which aims </w:t>
      </w:r>
      <w:r w:rsidR="00D712EE">
        <w:rPr>
          <w:rFonts w:ascii="Times New Roman" w:hAnsi="Times New Roman"/>
          <w:sz w:val="24"/>
          <w:szCs w:val="24"/>
        </w:rPr>
        <w:t>to eliminate tariffs within a 7-</w:t>
      </w:r>
      <w:r w:rsidR="00D712EE" w:rsidRPr="00AC248E">
        <w:rPr>
          <w:rFonts w:ascii="Times New Roman" w:hAnsi="Times New Roman"/>
          <w:sz w:val="24"/>
          <w:szCs w:val="24"/>
        </w:rPr>
        <w:t>year time frame with the target implementation date as 2010-11</w:t>
      </w:r>
      <w:r w:rsidR="004558E6">
        <w:rPr>
          <w:rFonts w:ascii="Times New Roman" w:hAnsi="Times New Roman"/>
          <w:sz w:val="24"/>
          <w:szCs w:val="24"/>
        </w:rPr>
        <w:t>. Such an agreement c</w:t>
      </w:r>
      <w:r w:rsidR="00D712EE">
        <w:rPr>
          <w:rFonts w:ascii="Times New Roman" w:hAnsi="Times New Roman"/>
          <w:sz w:val="24"/>
          <w:szCs w:val="24"/>
        </w:rPr>
        <w:t xml:space="preserve">ould transform </w:t>
      </w:r>
      <w:r w:rsidR="004558E6">
        <w:rPr>
          <w:rFonts w:ascii="Times New Roman" w:hAnsi="Times New Roman"/>
          <w:sz w:val="24"/>
          <w:szCs w:val="24"/>
        </w:rPr>
        <w:t xml:space="preserve">the </w:t>
      </w:r>
      <w:r w:rsidR="00D712EE">
        <w:rPr>
          <w:rFonts w:ascii="Times New Roman" w:hAnsi="Times New Roman"/>
          <w:sz w:val="24"/>
          <w:szCs w:val="24"/>
        </w:rPr>
        <w:t>overall business environment from the inter</w:t>
      </w:r>
      <w:r w:rsidR="00D712EE" w:rsidRPr="00AC248E">
        <w:rPr>
          <w:rFonts w:ascii="Times New Roman" w:hAnsi="Times New Roman"/>
          <w:sz w:val="24"/>
          <w:szCs w:val="24"/>
        </w:rPr>
        <w:t xml:space="preserve">connectedness of </w:t>
      </w:r>
      <w:r w:rsidR="00D712EE">
        <w:rPr>
          <w:rFonts w:ascii="Times New Roman" w:hAnsi="Times New Roman"/>
          <w:sz w:val="24"/>
          <w:szCs w:val="24"/>
        </w:rPr>
        <w:t xml:space="preserve">these trading </w:t>
      </w:r>
      <w:r w:rsidR="00D712EE" w:rsidRPr="00AC248E">
        <w:rPr>
          <w:rFonts w:ascii="Times New Roman" w:hAnsi="Times New Roman"/>
          <w:sz w:val="24"/>
          <w:szCs w:val="24"/>
        </w:rPr>
        <w:t>economies</w:t>
      </w:r>
      <w:r w:rsidR="00D712EE">
        <w:rPr>
          <w:rFonts w:ascii="Times New Roman" w:hAnsi="Times New Roman"/>
          <w:sz w:val="24"/>
          <w:szCs w:val="24"/>
        </w:rPr>
        <w:t xml:space="preserve">. </w:t>
      </w:r>
      <w:r w:rsidR="004558E6">
        <w:rPr>
          <w:rFonts w:ascii="Times New Roman" w:hAnsi="Times New Roman"/>
          <w:sz w:val="24"/>
          <w:szCs w:val="24"/>
        </w:rPr>
        <w:t>Bilkey (1978) suggests</w:t>
      </w:r>
      <w:r w:rsidR="00D712EE" w:rsidRPr="00AC248E">
        <w:rPr>
          <w:rFonts w:ascii="Times New Roman" w:hAnsi="Times New Roman"/>
          <w:sz w:val="24"/>
          <w:szCs w:val="24"/>
        </w:rPr>
        <w:t xml:space="preserve"> that if trade agreements between countries and/or economic blocs are to achieve thei</w:t>
      </w:r>
      <w:r w:rsidR="004558E6">
        <w:rPr>
          <w:rFonts w:ascii="Times New Roman" w:hAnsi="Times New Roman"/>
          <w:sz w:val="24"/>
          <w:szCs w:val="24"/>
        </w:rPr>
        <w:t>r potential and bestow benefits</w:t>
      </w:r>
      <w:r w:rsidR="00D712EE" w:rsidRPr="00AC248E">
        <w:rPr>
          <w:rFonts w:ascii="Times New Roman" w:hAnsi="Times New Roman"/>
          <w:sz w:val="24"/>
          <w:szCs w:val="24"/>
        </w:rPr>
        <w:t xml:space="preserve"> public policy may be required to help firms in overcoming export problems. This has also been identified as </w:t>
      </w:r>
      <w:r w:rsidR="004558E6">
        <w:rPr>
          <w:rFonts w:ascii="Times New Roman" w:hAnsi="Times New Roman"/>
          <w:sz w:val="24"/>
          <w:szCs w:val="24"/>
        </w:rPr>
        <w:t xml:space="preserve">an important issue that </w:t>
      </w:r>
      <w:r w:rsidR="00D712EE" w:rsidRPr="00AC248E">
        <w:rPr>
          <w:rFonts w:ascii="Times New Roman" w:hAnsi="Times New Roman"/>
          <w:sz w:val="24"/>
          <w:szCs w:val="24"/>
        </w:rPr>
        <w:t>need</w:t>
      </w:r>
      <w:r w:rsidR="004558E6">
        <w:rPr>
          <w:rFonts w:ascii="Times New Roman" w:hAnsi="Times New Roman"/>
          <w:sz w:val="24"/>
          <w:szCs w:val="24"/>
        </w:rPr>
        <w:t>s</w:t>
      </w:r>
      <w:r w:rsidR="00D712EE" w:rsidRPr="00AC248E">
        <w:rPr>
          <w:rFonts w:ascii="Times New Roman" w:hAnsi="Times New Roman"/>
          <w:sz w:val="24"/>
          <w:szCs w:val="24"/>
        </w:rPr>
        <w:t xml:space="preserve"> to be addressed within the </w:t>
      </w:r>
      <w:r w:rsidR="004558E6">
        <w:rPr>
          <w:rFonts w:ascii="Times New Roman" w:hAnsi="Times New Roman"/>
          <w:sz w:val="24"/>
          <w:szCs w:val="24"/>
        </w:rPr>
        <w:t xml:space="preserve">ongoing </w:t>
      </w:r>
      <w:r w:rsidR="00D712EE" w:rsidRPr="00AC248E">
        <w:rPr>
          <w:rFonts w:ascii="Times New Roman" w:hAnsi="Times New Roman"/>
          <w:sz w:val="24"/>
          <w:szCs w:val="24"/>
        </w:rPr>
        <w:t xml:space="preserve">EU-India FTA </w:t>
      </w:r>
      <w:r w:rsidR="004558E6">
        <w:rPr>
          <w:rFonts w:ascii="Times New Roman" w:hAnsi="Times New Roman"/>
          <w:sz w:val="24"/>
          <w:szCs w:val="24"/>
        </w:rPr>
        <w:t xml:space="preserve">negotiations </w:t>
      </w:r>
      <w:r w:rsidR="00D712EE" w:rsidRPr="00AC248E">
        <w:rPr>
          <w:rFonts w:ascii="Times New Roman" w:hAnsi="Times New Roman"/>
          <w:sz w:val="24"/>
          <w:szCs w:val="24"/>
        </w:rPr>
        <w:t xml:space="preserve">(Khorana </w:t>
      </w:r>
      <w:r w:rsidR="004558E6">
        <w:rPr>
          <w:rFonts w:ascii="Times New Roman" w:hAnsi="Times New Roman"/>
          <w:sz w:val="24"/>
          <w:szCs w:val="24"/>
        </w:rPr>
        <w:t xml:space="preserve">&amp; </w:t>
      </w:r>
      <w:r w:rsidR="00D712EE" w:rsidRPr="00AC248E">
        <w:rPr>
          <w:rFonts w:ascii="Times New Roman" w:hAnsi="Times New Roman"/>
          <w:sz w:val="24"/>
          <w:szCs w:val="24"/>
        </w:rPr>
        <w:t>Perdikis, forthcoming)</w:t>
      </w:r>
      <w:r w:rsidR="00D712EE">
        <w:rPr>
          <w:rFonts w:ascii="Times New Roman" w:hAnsi="Times New Roman"/>
          <w:sz w:val="24"/>
          <w:szCs w:val="24"/>
        </w:rPr>
        <w:t xml:space="preserve">. </w:t>
      </w:r>
    </w:p>
    <w:p w:rsidR="00D712EE" w:rsidRDefault="00D712EE" w:rsidP="00A6237B">
      <w:pPr>
        <w:autoSpaceDE w:val="0"/>
        <w:autoSpaceDN w:val="0"/>
        <w:adjustRightInd w:val="0"/>
        <w:spacing w:line="360" w:lineRule="auto"/>
        <w:jc w:val="both"/>
      </w:pPr>
    </w:p>
    <w:p w:rsidR="00A00479" w:rsidRDefault="00A00479" w:rsidP="00A6237B">
      <w:pPr>
        <w:autoSpaceDE w:val="0"/>
        <w:autoSpaceDN w:val="0"/>
        <w:adjustRightInd w:val="0"/>
        <w:spacing w:line="360" w:lineRule="auto"/>
        <w:jc w:val="both"/>
      </w:pPr>
      <w:r>
        <w:t>T</w:t>
      </w:r>
      <w:r w:rsidRPr="00D92694">
        <w:t xml:space="preserve">his </w:t>
      </w:r>
      <w:r>
        <w:t>paper</w:t>
      </w:r>
      <w:r w:rsidRPr="00D92694">
        <w:t xml:space="preserve"> focus</w:t>
      </w:r>
      <w:r>
        <w:t>es</w:t>
      </w:r>
      <w:r w:rsidRPr="00D92694">
        <w:t xml:space="preserve"> on </w:t>
      </w:r>
      <w:r>
        <w:t>the perceptions</w:t>
      </w:r>
      <w:r w:rsidRPr="00D92694">
        <w:t xml:space="preserve"> </w:t>
      </w:r>
      <w:r>
        <w:t xml:space="preserve">of </w:t>
      </w:r>
      <w:r w:rsidR="004558E6">
        <w:t xml:space="preserve">export </w:t>
      </w:r>
      <w:r w:rsidRPr="00D92694">
        <w:t>problems</w:t>
      </w:r>
      <w:r>
        <w:t xml:space="preserve"> faced by </w:t>
      </w:r>
      <w:r w:rsidRPr="00D92694">
        <w:t xml:space="preserve">Indian </w:t>
      </w:r>
      <w:r>
        <w:t>small and medium</w:t>
      </w:r>
      <w:r w:rsidRPr="003A7A3C">
        <w:t xml:space="preserve"> </w:t>
      </w:r>
      <w:r w:rsidR="00D712EE">
        <w:t>firms. The aim is two-</w:t>
      </w:r>
      <w:r>
        <w:t>fold: f</w:t>
      </w:r>
      <w:r w:rsidRPr="00D92694">
        <w:t xml:space="preserve">irstly, </w:t>
      </w:r>
      <w:r w:rsidR="004558E6">
        <w:t xml:space="preserve">to </w:t>
      </w:r>
      <w:r w:rsidRPr="00D92694">
        <w:t xml:space="preserve">evaluate </w:t>
      </w:r>
      <w:r>
        <w:t>Indian exporters’ perceptions to problems</w:t>
      </w:r>
      <w:r w:rsidRPr="00D92694">
        <w:t xml:space="preserve"> faced in the EU mark</w:t>
      </w:r>
      <w:r>
        <w:t xml:space="preserve">et </w:t>
      </w:r>
      <w:r w:rsidR="004558E6">
        <w:t>that might result in</w:t>
      </w:r>
      <w:r w:rsidR="00D712EE">
        <w:t xml:space="preserve"> </w:t>
      </w:r>
      <w:r>
        <w:t xml:space="preserve">some firms </w:t>
      </w:r>
      <w:r w:rsidR="00A85EA5">
        <w:t>no</w:t>
      </w:r>
      <w:r w:rsidRPr="00D92694">
        <w:t>t exploit</w:t>
      </w:r>
      <w:r w:rsidR="00A85EA5">
        <w:t>ing</w:t>
      </w:r>
      <w:r w:rsidRPr="00D92694">
        <w:t xml:space="preserve"> full potential; and secondly, </w:t>
      </w:r>
      <w:r w:rsidR="004558E6">
        <w:t xml:space="preserve">to </w:t>
      </w:r>
      <w:r w:rsidR="00A85EA5">
        <w:t xml:space="preserve">suggest </w:t>
      </w:r>
      <w:r w:rsidRPr="00D92694">
        <w:t xml:space="preserve">policies </w:t>
      </w:r>
      <w:r w:rsidR="00A85EA5">
        <w:t xml:space="preserve">that </w:t>
      </w:r>
      <w:r w:rsidRPr="00D92694">
        <w:t xml:space="preserve">might be required to ensure </w:t>
      </w:r>
      <w:r w:rsidR="004558E6">
        <w:t xml:space="preserve">that </w:t>
      </w:r>
      <w:r w:rsidRPr="00D92694">
        <w:t>Indian exporters benefit from increased market access under the FTA framework.</w:t>
      </w:r>
      <w:r>
        <w:t xml:space="preserve"> The remainder of this paper is organised as follows: section 2 presents the research framework. Section 3 discusses the sample selection and measurement of variables. Section 4 deals with data analysis, model estimation and the research findings. Section 5 concludes by drawing out the implications for exporters and public policy needs of the proposed EU-India FTA.</w:t>
      </w:r>
    </w:p>
    <w:p w:rsidR="00A85EA5" w:rsidRDefault="00A85EA5" w:rsidP="00A85EA5">
      <w:pPr>
        <w:pStyle w:val="FootnoteText"/>
        <w:spacing w:after="0" w:line="360" w:lineRule="auto"/>
        <w:jc w:val="both"/>
        <w:rPr>
          <w:rFonts w:ascii="Times New Roman" w:hAnsi="Times New Roman"/>
          <w:sz w:val="24"/>
          <w:szCs w:val="24"/>
        </w:rPr>
      </w:pPr>
    </w:p>
    <w:p w:rsidR="00A00479" w:rsidRPr="00D92694" w:rsidRDefault="00A00479" w:rsidP="00B47F93">
      <w:pPr>
        <w:pStyle w:val="Heading2"/>
        <w:numPr>
          <w:ilvl w:val="0"/>
          <w:numId w:val="5"/>
        </w:numPr>
        <w:spacing w:line="360" w:lineRule="auto"/>
        <w:jc w:val="both"/>
        <w:rPr>
          <w:rFonts w:ascii="Times New Roman" w:hAnsi="Times New Roman" w:cs="Times New Roman"/>
        </w:rPr>
      </w:pPr>
      <w:r>
        <w:rPr>
          <w:rFonts w:ascii="Times New Roman" w:hAnsi="Times New Roman" w:cs="Times New Roman"/>
        </w:rPr>
        <w:lastRenderedPageBreak/>
        <w:t>Research Framework</w:t>
      </w:r>
    </w:p>
    <w:p w:rsidR="00A85EA5" w:rsidRDefault="00A00479" w:rsidP="00A85EA5">
      <w:pPr>
        <w:autoSpaceDE w:val="0"/>
        <w:autoSpaceDN w:val="0"/>
        <w:adjustRightInd w:val="0"/>
        <w:spacing w:line="360" w:lineRule="auto"/>
        <w:jc w:val="both"/>
      </w:pPr>
      <w:r w:rsidRPr="00A85EA5">
        <w:t xml:space="preserve">Literature makes a clear distinction between export barriers and problems faced by firms (Morgan </w:t>
      </w:r>
      <w:r w:rsidR="00A85EA5" w:rsidRPr="00A85EA5">
        <w:t>&amp;</w:t>
      </w:r>
      <w:r w:rsidRPr="00A85EA5">
        <w:t xml:space="preserve"> Katsikeas, 1997). The former refers to factors that prevent non-exporters from embarking on an export strategy while the latter refers to stumbling blocks encountered by existing exporting firms. It also emerges that </w:t>
      </w:r>
      <w:r w:rsidRPr="00A85EA5">
        <w:rPr>
          <w:bCs/>
        </w:rPr>
        <w:t xml:space="preserve">exporters perceptions to barriers faced in foreign market are determined by firm size, export involvement and international experience. </w:t>
      </w:r>
      <w:r w:rsidRPr="00A85EA5">
        <w:t xml:space="preserve">Studies show that the perception of barriers and problems affects exporters’ strategic decisions on the level of resources firms commit to exporting (Shoham </w:t>
      </w:r>
      <w:r w:rsidR="00A85EA5" w:rsidRPr="00A85EA5">
        <w:t>&amp;</w:t>
      </w:r>
      <w:r w:rsidRPr="00A85EA5">
        <w:t xml:space="preserve"> Abaum, 1995; Katsikeas </w:t>
      </w:r>
      <w:r w:rsidRPr="00A85EA5">
        <w:rPr>
          <w:i/>
        </w:rPr>
        <w:t>et al</w:t>
      </w:r>
      <w:r w:rsidRPr="00A85EA5">
        <w:t>, 2000)</w:t>
      </w:r>
      <w:r w:rsidR="00A85EA5" w:rsidRPr="00A85EA5">
        <w:t xml:space="preserve"> and e</w:t>
      </w:r>
      <w:r w:rsidRPr="00A85EA5">
        <w:t xml:space="preserve">xporters perceptions are defined as </w:t>
      </w:r>
      <w:r w:rsidR="00A85EA5" w:rsidRPr="00A85EA5">
        <w:t xml:space="preserve">the </w:t>
      </w:r>
      <w:r w:rsidRPr="00A85EA5">
        <w:t>mindset or familiarity with</w:t>
      </w:r>
      <w:r w:rsidR="00A85EA5" w:rsidRPr="00A85EA5">
        <w:t xml:space="preserve"> </w:t>
      </w:r>
      <w:r w:rsidRPr="00A85EA5">
        <w:t>conditions generating their changing environmental setting (</w:t>
      </w:r>
      <w:r w:rsidR="00A85EA5" w:rsidRPr="00A85EA5">
        <w:t>Falbe &amp; We</w:t>
      </w:r>
      <w:r w:rsidRPr="00A85EA5">
        <w:t xml:space="preserve">lsh, 1998). </w:t>
      </w:r>
      <w:r w:rsidR="00A85EA5" w:rsidRPr="00A85EA5">
        <w:t>E</w:t>
      </w:r>
      <w:r w:rsidRPr="00A85EA5">
        <w:t xml:space="preserve">xport manager’s perceptions of trade barriers and problems are important as these in turn determine exporters’ sales strategies and resources committed to pursue internationalisation (Leonidou </w:t>
      </w:r>
      <w:r w:rsidR="00A85EA5" w:rsidRPr="00A85EA5">
        <w:t>&amp; Katsikeas, 1996</w:t>
      </w:r>
      <w:r w:rsidRPr="00A85EA5">
        <w:t xml:space="preserve">). </w:t>
      </w:r>
      <w:r w:rsidR="00A85EA5" w:rsidRPr="00A85EA5">
        <w:t>S</w:t>
      </w:r>
      <w:r w:rsidRPr="00A85EA5">
        <w:t xml:space="preserve">tudies highlight the effect of firm size on export activity of a firm </w:t>
      </w:r>
      <w:r w:rsidR="00A85EA5" w:rsidRPr="00A85EA5">
        <w:t>and</w:t>
      </w:r>
      <w:r w:rsidRPr="00A85EA5">
        <w:t xml:space="preserve"> show that firm size is an important factor in shaping exporters perceptions of trade problems and barriers (Fillion, 1990). Large firms with greater resources at their disposal can respond better than their smaller counterparts in dealing with trade problems and are likely to have a </w:t>
      </w:r>
      <w:r w:rsidR="00A85EA5" w:rsidRPr="00A85EA5">
        <w:t>competitive</w:t>
      </w:r>
      <w:r w:rsidRPr="00A85EA5">
        <w:t xml:space="preserve"> advantage in international markets (</w:t>
      </w:r>
      <w:r w:rsidR="00A85EA5" w:rsidRPr="00A85EA5">
        <w:t>Beamish</w:t>
      </w:r>
      <w:r w:rsidR="00A85EA5" w:rsidRPr="00A85EA5">
        <w:rPr>
          <w:i/>
        </w:rPr>
        <w:t xml:space="preserve"> et al</w:t>
      </w:r>
      <w:r w:rsidR="00A85EA5" w:rsidRPr="00A85EA5">
        <w:t xml:space="preserve">., 1999; Wolff &amp; Pett, 2000). </w:t>
      </w:r>
      <w:r w:rsidRPr="00A85EA5">
        <w:t>The argument goes that large firms having built up and developed their resources and capabilities over time are able to carry out export activities from a well developed base. In this vein it follows that large firms, having acquired a blend of necessary resources such as managerial know-how and export departments, are more likely to overcome problems to exporting than smaller firms. Aaby &amp; Slater (1989) suggest that larger companies have size-related advantages that enable them to have more effective engagement in export activity. An efficient production structure</w:t>
      </w:r>
      <w:r w:rsidR="00A85EA5" w:rsidRPr="00A85EA5">
        <w:t>, therefore,</w:t>
      </w:r>
      <w:r w:rsidRPr="00A85EA5">
        <w:t xml:space="preserve"> allows firms to penetrate markets on a larger scale and broad information network increases firm capability to compete in foreign markets resulting in higher export volumes and performance. </w:t>
      </w:r>
      <w:r w:rsidR="00A85EA5" w:rsidRPr="00D92694">
        <w:t xml:space="preserve">Moini (1995) </w:t>
      </w:r>
      <w:r w:rsidR="00A85EA5">
        <w:t xml:space="preserve">also </w:t>
      </w:r>
      <w:r w:rsidR="00A85EA5" w:rsidRPr="00D92694">
        <w:t>show</w:t>
      </w:r>
      <w:r w:rsidR="00A85EA5">
        <w:t>s</w:t>
      </w:r>
      <w:r w:rsidR="00A85EA5" w:rsidRPr="00D92694">
        <w:t xml:space="preserve"> that export activity and success are positively correlated with</w:t>
      </w:r>
      <w:r w:rsidR="00A85EA5">
        <w:t xml:space="preserve"> firm</w:t>
      </w:r>
      <w:r w:rsidR="00A85EA5" w:rsidRPr="00D92694">
        <w:t xml:space="preserve"> size.</w:t>
      </w:r>
      <w:r w:rsidR="00A85EA5">
        <w:t xml:space="preserve"> </w:t>
      </w:r>
      <w:r w:rsidR="00A85EA5" w:rsidRPr="00A85EA5">
        <w:t xml:space="preserve">Researchers, drawing on the insights of the resource based theory, </w:t>
      </w:r>
      <w:r w:rsidR="004558E6">
        <w:t>also find</w:t>
      </w:r>
      <w:r w:rsidR="00A85EA5" w:rsidRPr="00A85EA5">
        <w:t xml:space="preserve"> that firm size matters in determining export success (Barney, 1991). Large firms are usually older and have accumulated the relevant stock of resources to ensure success when faced with export challenges (Mohan-Neill, 1995). This implies large exporting firms are less likely to face problems in exploiting cross border opportunities, as a result of scarce resources, inadequate organi</w:t>
      </w:r>
      <w:r w:rsidR="004558E6">
        <w:t>s</w:t>
      </w:r>
      <w:r w:rsidR="00A85EA5" w:rsidRPr="00A85EA5">
        <w:t xml:space="preserve">ation, and incompetent management, and that large firms are less likely to perceive export </w:t>
      </w:r>
      <w:r w:rsidR="00A85EA5" w:rsidRPr="00A85EA5">
        <w:lastRenderedPageBreak/>
        <w:t>barriers and problems as a challenge compared to smaller firms.</w:t>
      </w:r>
      <w:r w:rsidR="00A85EA5" w:rsidRPr="00A85EA5">
        <w:rPr>
          <w:bCs/>
        </w:rPr>
        <w:t xml:space="preserve"> Ghauri &amp; Kumar (1989) contend that </w:t>
      </w:r>
      <w:r w:rsidR="00A85EA5" w:rsidRPr="00A85EA5">
        <w:t xml:space="preserve">firm size impacts the perception of </w:t>
      </w:r>
      <w:r w:rsidR="004558E6">
        <w:t>impediments to trade</w:t>
      </w:r>
      <w:r w:rsidR="00A85EA5" w:rsidRPr="00A85EA5">
        <w:t xml:space="preserve"> such that small firms consider barriers and problems to exporting much more significant that large firms and that </w:t>
      </w:r>
      <w:r w:rsidR="00A85EA5" w:rsidRPr="00A85EA5">
        <w:rPr>
          <w:bCs/>
        </w:rPr>
        <w:t xml:space="preserve">the significance of barriers for smaller firms is more than for larger firms. The perception of barriers </w:t>
      </w:r>
      <w:r w:rsidR="00A85EA5" w:rsidRPr="00A85EA5">
        <w:t>and problems</w:t>
      </w:r>
      <w:r w:rsidR="00A85EA5" w:rsidRPr="00A85EA5">
        <w:rPr>
          <w:bCs/>
        </w:rPr>
        <w:t xml:space="preserve"> also varies based on whether the exporters are passive or active exporters (Sharkey, </w:t>
      </w:r>
      <w:r w:rsidR="00A85EA5" w:rsidRPr="00A85EA5">
        <w:rPr>
          <w:bCs/>
          <w:i/>
        </w:rPr>
        <w:t>et al</w:t>
      </w:r>
      <w:r w:rsidR="00A85EA5" w:rsidRPr="00A85EA5">
        <w:rPr>
          <w:bCs/>
        </w:rPr>
        <w:t xml:space="preserve">, 1989). On the other hand, </w:t>
      </w:r>
      <w:r w:rsidR="00A85EA5">
        <w:rPr>
          <w:bCs/>
        </w:rPr>
        <w:t xml:space="preserve">studies show that </w:t>
      </w:r>
      <w:r w:rsidR="00A85EA5" w:rsidRPr="00A85EA5">
        <w:t>small and medium exporting firms face obstacles</w:t>
      </w:r>
      <w:r w:rsidR="00A85EA5" w:rsidRPr="00AC248E">
        <w:t xml:space="preserve"> from organisational weaknesses, strategic business flaws, home country deficiencies or host mark</w:t>
      </w:r>
      <w:r w:rsidR="00A85EA5">
        <w:t xml:space="preserve">et problems which often lead to </w:t>
      </w:r>
      <w:r w:rsidR="00A85EA5" w:rsidRPr="00AC248E">
        <w:t>deteriorating performance</w:t>
      </w:r>
      <w:r w:rsidR="00A85EA5">
        <w:t xml:space="preserve"> that</w:t>
      </w:r>
      <w:r w:rsidR="00A85EA5" w:rsidRPr="00AC248E">
        <w:t xml:space="preserve"> at time</w:t>
      </w:r>
      <w:r w:rsidR="00A85EA5">
        <w:t>s</w:t>
      </w:r>
      <w:r w:rsidR="004558E6">
        <w:t xml:space="preserve"> places</w:t>
      </w:r>
      <w:r w:rsidR="00A85EA5" w:rsidRPr="00AC248E">
        <w:t xml:space="preserve"> </w:t>
      </w:r>
      <w:r w:rsidR="004558E6">
        <w:t xml:space="preserve">the </w:t>
      </w:r>
      <w:r w:rsidR="00A85EA5" w:rsidRPr="00AC248E">
        <w:t xml:space="preserve">survival </w:t>
      </w:r>
      <w:r w:rsidR="00A85EA5">
        <w:t xml:space="preserve">of these firms </w:t>
      </w:r>
      <w:r w:rsidR="00A85EA5" w:rsidRPr="00AC248E">
        <w:t xml:space="preserve">at stake (Leonidou </w:t>
      </w:r>
      <w:r w:rsidR="00A85EA5">
        <w:t>&amp;</w:t>
      </w:r>
      <w:r w:rsidR="00A85EA5" w:rsidRPr="00AC248E">
        <w:t xml:space="preserve"> Katsikeas, 19</w:t>
      </w:r>
      <w:r w:rsidR="00A85EA5">
        <w:t>96</w:t>
      </w:r>
      <w:r w:rsidR="00A85EA5" w:rsidRPr="00AC248E">
        <w:t xml:space="preserve">). </w:t>
      </w:r>
    </w:p>
    <w:p w:rsidR="00A85EA5" w:rsidRDefault="00A85EA5" w:rsidP="00EC4D41">
      <w:pPr>
        <w:autoSpaceDE w:val="0"/>
        <w:autoSpaceDN w:val="0"/>
        <w:adjustRightInd w:val="0"/>
        <w:spacing w:line="360" w:lineRule="auto"/>
        <w:jc w:val="both"/>
      </w:pPr>
    </w:p>
    <w:p w:rsidR="00A00479" w:rsidRDefault="00A85EA5" w:rsidP="00EC4D41">
      <w:pPr>
        <w:autoSpaceDE w:val="0"/>
        <w:autoSpaceDN w:val="0"/>
        <w:adjustRightInd w:val="0"/>
        <w:spacing w:line="360" w:lineRule="auto"/>
        <w:jc w:val="both"/>
      </w:pPr>
      <w:r>
        <w:rPr>
          <w:bCs/>
        </w:rPr>
        <w:t>Findings show that p</w:t>
      </w:r>
      <w:r w:rsidRPr="00D92694">
        <w:t xml:space="preserve">erceptions of export barriers and problems faced by firms are correlated with export experience (Barkema </w:t>
      </w:r>
      <w:r w:rsidRPr="00820D4C">
        <w:rPr>
          <w:i/>
        </w:rPr>
        <w:t>et al</w:t>
      </w:r>
      <w:r w:rsidRPr="00D92694">
        <w:t>.</w:t>
      </w:r>
      <w:r>
        <w:t>,</w:t>
      </w:r>
      <w:r w:rsidRPr="00D92694">
        <w:t xml:space="preserve"> 1996). </w:t>
      </w:r>
      <w:r w:rsidR="00A00479" w:rsidRPr="00D92694">
        <w:t xml:space="preserve">Kneller </w:t>
      </w:r>
      <w:r w:rsidR="00A00479">
        <w:t>&amp;</w:t>
      </w:r>
      <w:r w:rsidR="00A00479" w:rsidRPr="00D92694">
        <w:t xml:space="preserve"> Pisu (2007) suggest that exports barriers </w:t>
      </w:r>
      <w:r w:rsidR="004558E6">
        <w:t xml:space="preserve">and problems </w:t>
      </w:r>
      <w:r w:rsidR="00A00479" w:rsidRPr="00D92694">
        <w:t xml:space="preserve">do not affect all firms in the same way and that the best predictor of whether a particular firm identifies a problem as relevant is explained almost exclusively by the number of years the firm has been exporting. </w:t>
      </w:r>
      <w:r w:rsidR="00A00479" w:rsidRPr="00D92694">
        <w:rPr>
          <w:bCs/>
        </w:rPr>
        <w:t xml:space="preserve">The perception of impediments varies between firms, such that firms with little experience perceive higher incidence of problems in international business (Madsen, 1989). </w:t>
      </w:r>
      <w:r w:rsidR="00A00479" w:rsidRPr="00D92694">
        <w:t xml:space="preserve">This </w:t>
      </w:r>
      <w:r w:rsidR="00A00479">
        <w:t xml:space="preserve">implies </w:t>
      </w:r>
      <w:r w:rsidR="00A00479" w:rsidRPr="00D92694">
        <w:t xml:space="preserve">that experience </w:t>
      </w:r>
      <w:r w:rsidR="00A00479">
        <w:t>can be</w:t>
      </w:r>
      <w:r w:rsidR="00A00479" w:rsidRPr="00D92694">
        <w:t xml:space="preserve"> an essential factor to the success of exporters in overcoming and </w:t>
      </w:r>
      <w:r w:rsidR="00A00479">
        <w:t xml:space="preserve">tackling </w:t>
      </w:r>
      <w:r w:rsidR="00A00479" w:rsidRPr="00D92694">
        <w:t xml:space="preserve">export barriers and problems (Reuber </w:t>
      </w:r>
      <w:r w:rsidR="00A00479">
        <w:t>&amp;</w:t>
      </w:r>
      <w:r w:rsidR="00A00479" w:rsidRPr="00D92694">
        <w:t xml:space="preserve"> Fischer, 1997).</w:t>
      </w:r>
      <w:r w:rsidR="00A00479">
        <w:t xml:space="preserve"> L</w:t>
      </w:r>
      <w:r w:rsidR="00A00479" w:rsidRPr="00D92694">
        <w:t xml:space="preserve">iterature reveals different sources of barriers and problems affect firms’ export performance (Ramaswami </w:t>
      </w:r>
      <w:r w:rsidR="00A00479">
        <w:t>&amp;</w:t>
      </w:r>
      <w:r w:rsidR="00A00479" w:rsidRPr="00D92694">
        <w:t xml:space="preserve"> Yang, 199</w:t>
      </w:r>
      <w:r w:rsidR="00BC306E">
        <w:t xml:space="preserve">0; </w:t>
      </w:r>
      <w:r w:rsidR="00A00479" w:rsidRPr="00D92694">
        <w:t>Katsikeas</w:t>
      </w:r>
      <w:r w:rsidR="00BC306E">
        <w:t xml:space="preserve">, </w:t>
      </w:r>
      <w:r w:rsidR="00BC306E" w:rsidRPr="00BC306E">
        <w:rPr>
          <w:i/>
        </w:rPr>
        <w:t>et al</w:t>
      </w:r>
      <w:r w:rsidR="00BC306E">
        <w:t>.</w:t>
      </w:r>
      <w:r w:rsidR="00A00479" w:rsidRPr="00D92694">
        <w:t>, 1995; Morgan, 1997</w:t>
      </w:r>
      <w:r w:rsidR="00BC306E">
        <w:t>;</w:t>
      </w:r>
      <w:r w:rsidR="00BC306E" w:rsidRPr="00BC306E">
        <w:t xml:space="preserve"> </w:t>
      </w:r>
      <w:r w:rsidR="00BC306E">
        <w:t>Leonidou, 1995a, b; 2004</w:t>
      </w:r>
      <w:r w:rsidR="00A00479" w:rsidRPr="00D92694">
        <w:t xml:space="preserve">). </w:t>
      </w:r>
      <w:r w:rsidR="00BC306E">
        <w:t xml:space="preserve">For instance, </w:t>
      </w:r>
      <w:r w:rsidR="00A00479" w:rsidRPr="00D92694">
        <w:t xml:space="preserve">Ramaswami </w:t>
      </w:r>
      <w:r w:rsidR="00A00479">
        <w:t xml:space="preserve">&amp; </w:t>
      </w:r>
      <w:r w:rsidR="00A00479" w:rsidRPr="00D92694">
        <w:t xml:space="preserve">Yang (1990) suggest </w:t>
      </w:r>
      <w:r w:rsidR="00BC306E" w:rsidRPr="00D92694">
        <w:t xml:space="preserve">‘procedural barriers’ </w:t>
      </w:r>
      <w:r w:rsidR="00BC306E">
        <w:t xml:space="preserve">are important </w:t>
      </w:r>
      <w:r w:rsidR="00007EA9">
        <w:t>which</w:t>
      </w:r>
      <w:r w:rsidR="00BC306E">
        <w:t xml:space="preserve"> manifest as l</w:t>
      </w:r>
      <w:r w:rsidR="00A00479" w:rsidRPr="00D92694">
        <w:t>ack of knowledge, internal resource constraints, procedural barriers</w:t>
      </w:r>
      <w:r w:rsidR="00A00479">
        <w:t xml:space="preserve"> and other exogenous variables. </w:t>
      </w:r>
      <w:r w:rsidR="00BC306E">
        <w:t>Others</w:t>
      </w:r>
      <w:r w:rsidR="00A00479">
        <w:t xml:space="preserve"> highlight</w:t>
      </w:r>
      <w:r w:rsidR="00A00479" w:rsidRPr="00D92694">
        <w:t xml:space="preserve"> quality control and safety standards as</w:t>
      </w:r>
      <w:r w:rsidR="00007EA9">
        <w:t xml:space="preserve"> important</w:t>
      </w:r>
      <w:r w:rsidR="00A00479" w:rsidRPr="00D92694">
        <w:t xml:space="preserve"> </w:t>
      </w:r>
      <w:r w:rsidR="00BC306E">
        <w:t xml:space="preserve">problems faced by </w:t>
      </w:r>
      <w:r w:rsidR="00007EA9">
        <w:t>exporters that compel</w:t>
      </w:r>
      <w:r w:rsidR="00BC306E">
        <w:t xml:space="preserve"> firms</w:t>
      </w:r>
      <w:r w:rsidR="00A00479" w:rsidRPr="00D92694">
        <w:t xml:space="preserve"> to adapt products to </w:t>
      </w:r>
      <w:r w:rsidR="00BC306E">
        <w:t xml:space="preserve">the </w:t>
      </w:r>
      <w:r w:rsidR="00BC306E" w:rsidRPr="00D92694">
        <w:t xml:space="preserve">requirements </w:t>
      </w:r>
      <w:r w:rsidR="00BC306E">
        <w:t xml:space="preserve">of </w:t>
      </w:r>
      <w:r w:rsidR="00A00479" w:rsidRPr="00D92694">
        <w:t xml:space="preserve">various foreign markets (Kedia </w:t>
      </w:r>
      <w:r w:rsidR="00A00479">
        <w:t xml:space="preserve">&amp; </w:t>
      </w:r>
      <w:r w:rsidR="00A00479" w:rsidRPr="00D92694">
        <w:t xml:space="preserve">Chhokar, 1986; Keng </w:t>
      </w:r>
      <w:r w:rsidR="00A00479">
        <w:t xml:space="preserve">&amp; </w:t>
      </w:r>
      <w:r w:rsidR="00A00479" w:rsidRPr="00D92694">
        <w:t xml:space="preserve">Jiuan, 1989). Yet others find transportation and distribution difficulties are faced by exporting firms in foreign markets (Kedia </w:t>
      </w:r>
      <w:r w:rsidR="00A00479">
        <w:t xml:space="preserve">&amp; </w:t>
      </w:r>
      <w:r w:rsidR="00A00479" w:rsidRPr="00D92694">
        <w:t xml:space="preserve">Chhokar, 1986; Barker </w:t>
      </w:r>
      <w:r w:rsidR="00A00479">
        <w:t xml:space="preserve">&amp; </w:t>
      </w:r>
      <w:r w:rsidR="00A00479" w:rsidRPr="00D92694">
        <w:t xml:space="preserve">Kaynak, 1992) that manifests into a barrier through high transport costs (Pinney, 1971). Johanson </w:t>
      </w:r>
      <w:r w:rsidR="00A00479">
        <w:t xml:space="preserve">&amp; </w:t>
      </w:r>
      <w:r w:rsidR="00A00479" w:rsidRPr="00D92694">
        <w:t>Weidersheim-Paul (1975)</w:t>
      </w:r>
      <w:r w:rsidR="00A00479">
        <w:t>,</w:t>
      </w:r>
      <w:r w:rsidR="00A00479" w:rsidRPr="00D92694">
        <w:t xml:space="preserve"> Johanson </w:t>
      </w:r>
      <w:r w:rsidR="00A00479">
        <w:t xml:space="preserve">&amp; </w:t>
      </w:r>
      <w:r w:rsidR="00A00479" w:rsidRPr="00D92694">
        <w:t xml:space="preserve">Vahlne (1990) </w:t>
      </w:r>
      <w:r w:rsidR="00A00479">
        <w:t>find</w:t>
      </w:r>
      <w:r w:rsidR="00A00479" w:rsidRPr="00D92694">
        <w:t xml:space="preserve"> that the lack of knowledge about foreign markets is yet another inherent problem faced by the small and medium sized exporters. More recent studies confirm that firms face export barriers in the form of imperfect distribution of information between buyers and sellers, which translate</w:t>
      </w:r>
      <w:r w:rsidR="00BC306E">
        <w:t>s into</w:t>
      </w:r>
      <w:r w:rsidR="00A00479" w:rsidRPr="00D92694">
        <w:t xml:space="preserve"> additional costs to obtain basic information about </w:t>
      </w:r>
      <w:r w:rsidR="00A00479" w:rsidRPr="00D92694">
        <w:lastRenderedPageBreak/>
        <w:t xml:space="preserve">export markets, identifying first contact </w:t>
      </w:r>
      <w:r w:rsidR="00BC306E">
        <w:t xml:space="preserve">point, </w:t>
      </w:r>
      <w:r w:rsidR="00A00479" w:rsidRPr="00D92694">
        <w:t xml:space="preserve">as well as divergences in culture as main factors that manifest as export </w:t>
      </w:r>
      <w:r w:rsidR="00BC306E">
        <w:t>impediment</w:t>
      </w:r>
      <w:r w:rsidR="00007EA9">
        <w:t>s</w:t>
      </w:r>
      <w:r w:rsidR="00A00479" w:rsidRPr="00D92694">
        <w:t xml:space="preserve"> in international trade (Kneller </w:t>
      </w:r>
      <w:r w:rsidR="00A00479">
        <w:t xml:space="preserve">&amp; </w:t>
      </w:r>
      <w:r w:rsidR="00A00479" w:rsidRPr="00D92694">
        <w:t xml:space="preserve">Pisu, 2007). Anderson </w:t>
      </w:r>
      <w:r w:rsidR="00A00479">
        <w:t xml:space="preserve">&amp; </w:t>
      </w:r>
      <w:r w:rsidR="00A00479" w:rsidRPr="00D92694">
        <w:t>Wincoop (2004) also show that trade costs are associated with export barriers</w:t>
      </w:r>
      <w:r w:rsidR="00007EA9">
        <w:t>, instance of these are</w:t>
      </w:r>
      <w:r w:rsidR="00A00479" w:rsidRPr="00D92694">
        <w:t xml:space="preserve"> language differences, imperfect information and institutional quality. Leonidou (</w:t>
      </w:r>
      <w:r w:rsidR="00A00479">
        <w:t>1995b,</w:t>
      </w:r>
      <w:r w:rsidR="00A00479" w:rsidRPr="00D92694">
        <w:t xml:space="preserve"> 2004)</w:t>
      </w:r>
      <w:r w:rsidR="00A00479">
        <w:t xml:space="preserve"> </w:t>
      </w:r>
      <w:r w:rsidR="00A00479" w:rsidRPr="00D92694">
        <w:t>categorises export problems as internal and external to the firm. On the one hand, internal barriers are intrinsic to firm</w:t>
      </w:r>
      <w:r w:rsidR="00BC306E">
        <w:t>s</w:t>
      </w:r>
      <w:r w:rsidR="00A00479" w:rsidRPr="00D92694">
        <w:t xml:space="preserve"> and usually associated with available organisational resources or approach to export marketing. On the other, external barriers stem from the environment within which </w:t>
      </w:r>
      <w:r w:rsidR="00BC306E">
        <w:t xml:space="preserve">firms </w:t>
      </w:r>
      <w:r w:rsidR="00A00479" w:rsidRPr="00D92694">
        <w:t>operate.</w:t>
      </w:r>
      <w:r w:rsidR="00A00479">
        <w:rPr>
          <w:rStyle w:val="FootnoteReference"/>
        </w:rPr>
        <w:footnoteReference w:id="5"/>
      </w:r>
      <w:r w:rsidR="00A00479" w:rsidRPr="00D92694">
        <w:t xml:space="preserve"> Morgan’s (1997) </w:t>
      </w:r>
      <w:r w:rsidR="00A00479">
        <w:t>developed the conceptual domain of export stimuli and barriers which form</w:t>
      </w:r>
      <w:r w:rsidR="00007EA9">
        <w:t>s</w:t>
      </w:r>
      <w:r w:rsidR="00A00479">
        <w:t xml:space="preserve"> the basis of </w:t>
      </w:r>
      <w:r w:rsidR="00007EA9">
        <w:t xml:space="preserve">the </w:t>
      </w:r>
      <w:r w:rsidR="00A00479">
        <w:t xml:space="preserve">theoretical construct employed </w:t>
      </w:r>
      <w:r w:rsidR="00007EA9">
        <w:t>by</w:t>
      </w:r>
      <w:r w:rsidR="00A00479">
        <w:t xml:space="preserve"> this study </w:t>
      </w:r>
      <w:r w:rsidR="00A00479" w:rsidRPr="00D92694">
        <w:t>to categorise export problems faced by Indian exporters into</w:t>
      </w:r>
      <w:r w:rsidR="00A00479">
        <w:t>:</w:t>
      </w:r>
      <w:r w:rsidR="00A00479" w:rsidRPr="00D92694">
        <w:t xml:space="preserve"> internal-domestic, internal-foreign, external-domestic and external-foreign </w:t>
      </w:r>
      <w:r w:rsidR="00007EA9">
        <w:t>problems</w:t>
      </w:r>
      <w:r w:rsidR="00A00479" w:rsidRPr="00D92694">
        <w:t>.</w:t>
      </w:r>
      <w:r w:rsidR="00A00479">
        <w:t xml:space="preserve"> </w:t>
      </w:r>
    </w:p>
    <w:p w:rsidR="00A00479" w:rsidRDefault="00A00479" w:rsidP="00D92694">
      <w:pPr>
        <w:spacing w:line="360" w:lineRule="auto"/>
        <w:jc w:val="both"/>
      </w:pPr>
    </w:p>
    <w:p w:rsidR="00A00479" w:rsidRPr="00D92694" w:rsidRDefault="00A00479" w:rsidP="00D92694">
      <w:pPr>
        <w:spacing w:line="360" w:lineRule="auto"/>
        <w:jc w:val="both"/>
      </w:pPr>
      <w:r w:rsidRPr="00D92694">
        <w:t>In India, the major</w:t>
      </w:r>
      <w:r w:rsidR="00007EA9">
        <w:t xml:space="preserve"> </w:t>
      </w:r>
      <w:r>
        <w:t>problems</w:t>
      </w:r>
      <w:r w:rsidRPr="00D92694">
        <w:t xml:space="preserve"> that exporters face are standards, testing, labelling and certification</w:t>
      </w:r>
      <w:r>
        <w:t xml:space="preserve"> as well as internal domestic barriers</w:t>
      </w:r>
      <w:r w:rsidR="00BC306E">
        <w:t xml:space="preserve"> like inadequate infrastructure, high transport costs and corruption</w:t>
      </w:r>
      <w:r w:rsidRPr="00D92694">
        <w:t>. The OECD</w:t>
      </w:r>
      <w:r>
        <w:t xml:space="preserve"> (2005</w:t>
      </w:r>
      <w:r w:rsidRPr="00847222">
        <w:t>)</w:t>
      </w:r>
      <w:r w:rsidRPr="00D92694">
        <w:t xml:space="preserve"> conducted a survey of Indian firms exporting to the EU</w:t>
      </w:r>
      <w:r w:rsidR="00BC306E">
        <w:t xml:space="preserve"> and</w:t>
      </w:r>
      <w:r w:rsidRPr="00D92694">
        <w:t xml:space="preserve"> identified </w:t>
      </w:r>
      <w:r w:rsidR="00BC306E">
        <w:t xml:space="preserve">the </w:t>
      </w:r>
      <w:r w:rsidRPr="00D92694">
        <w:t xml:space="preserve">main </w:t>
      </w:r>
      <w:r>
        <w:t>problems</w:t>
      </w:r>
      <w:r w:rsidRPr="00D92694">
        <w:t xml:space="preserve"> as labelling requirements (fabrics, apparel, textiles); technical standards (leather goods, coffee, tea, pharmaceuticals and electrical machinery); anti-dumping measures (chemicals, man-made staple fibres, iron and steel bars); </w:t>
      </w:r>
      <w:r>
        <w:t xml:space="preserve">and, </w:t>
      </w:r>
      <w:r w:rsidRPr="00D92694">
        <w:t>child labour laws (carpets and floor covering). Studies</w:t>
      </w:r>
      <w:r>
        <w:t xml:space="preserve"> </w:t>
      </w:r>
      <w:r w:rsidRPr="00D92694">
        <w:t xml:space="preserve">show that high port fees and taxes </w:t>
      </w:r>
      <w:r w:rsidR="00007EA9">
        <w:t>and that the</w:t>
      </w:r>
      <w:r w:rsidR="00BC306E">
        <w:t xml:space="preserve"> fee </w:t>
      </w:r>
      <w:r w:rsidR="00BC306E" w:rsidRPr="00D92694">
        <w:t xml:space="preserve">for authentication of export documents by the consulates of importing countries </w:t>
      </w:r>
      <w:r w:rsidR="00BC306E">
        <w:t>add</w:t>
      </w:r>
      <w:r w:rsidR="00007EA9">
        <w:t>s</w:t>
      </w:r>
      <w:r w:rsidR="00BC306E">
        <w:t xml:space="preserve"> </w:t>
      </w:r>
      <w:r w:rsidR="00BC306E" w:rsidRPr="00D92694">
        <w:t>significa</w:t>
      </w:r>
      <w:r w:rsidR="00BC306E">
        <w:t xml:space="preserve">ntly to total costs for the exporter (Mehta, 2005). </w:t>
      </w:r>
      <w:r>
        <w:t>Strict rules of origin</w:t>
      </w:r>
      <w:r w:rsidRPr="00D92694">
        <w:t xml:space="preserve"> are</w:t>
      </w:r>
      <w:r>
        <w:t xml:space="preserve"> </w:t>
      </w:r>
      <w:r w:rsidR="00BC306E">
        <w:t>also</w:t>
      </w:r>
      <w:r>
        <w:t xml:space="preserve"> cited as an</w:t>
      </w:r>
      <w:r w:rsidR="00BC306E">
        <w:t>other</w:t>
      </w:r>
      <w:r>
        <w:t xml:space="preserve"> important problem</w:t>
      </w:r>
      <w:r w:rsidRPr="00D92694">
        <w:t xml:space="preserve"> </w:t>
      </w:r>
      <w:r>
        <w:t>faced by Indian exporters in textiles and clothing</w:t>
      </w:r>
      <w:r w:rsidRPr="00D92694">
        <w:t xml:space="preserve">. Instances of these are non-recognition of processes conferring origin to the final product as well as discriminatory and unilateral changes in rules by </w:t>
      </w:r>
      <w:r w:rsidR="00007EA9">
        <w:t xml:space="preserve">the </w:t>
      </w:r>
      <w:r w:rsidRPr="00D92694">
        <w:t>importing countries</w:t>
      </w:r>
      <w:r>
        <w:t>. In leather and footwear, the most common problems</w:t>
      </w:r>
      <w:r w:rsidRPr="00D92694">
        <w:t xml:space="preserve"> faced by exporters relate to animal health, safety concerns and unethical </w:t>
      </w:r>
      <w:r>
        <w:t>treatment of animals (WTO, 2003</w:t>
      </w:r>
      <w:r w:rsidRPr="00D92694">
        <w:t xml:space="preserve">). </w:t>
      </w:r>
    </w:p>
    <w:p w:rsidR="00A00479" w:rsidRPr="00D92694" w:rsidRDefault="00A00479" w:rsidP="00D92694">
      <w:pPr>
        <w:spacing w:line="360" w:lineRule="auto"/>
        <w:jc w:val="both"/>
      </w:pPr>
    </w:p>
    <w:p w:rsidR="00A00479" w:rsidRPr="00D92694" w:rsidRDefault="00A00479" w:rsidP="00B47F93">
      <w:pPr>
        <w:pStyle w:val="Heading2"/>
        <w:numPr>
          <w:ilvl w:val="0"/>
          <w:numId w:val="5"/>
        </w:numPr>
        <w:spacing w:line="360" w:lineRule="auto"/>
        <w:jc w:val="both"/>
        <w:rPr>
          <w:rFonts w:ascii="Times New Roman" w:hAnsi="Times New Roman" w:cs="Times New Roman"/>
        </w:rPr>
      </w:pPr>
      <w:r w:rsidRPr="00D92694">
        <w:rPr>
          <w:rFonts w:ascii="Times New Roman" w:hAnsi="Times New Roman" w:cs="Times New Roman"/>
        </w:rPr>
        <w:lastRenderedPageBreak/>
        <w:t>Research methodology</w:t>
      </w:r>
    </w:p>
    <w:p w:rsidR="00A00479" w:rsidRDefault="00A00479" w:rsidP="00D92694">
      <w:pPr>
        <w:pStyle w:val="Default"/>
        <w:spacing w:line="360" w:lineRule="auto"/>
        <w:jc w:val="both"/>
        <w:rPr>
          <w:bCs/>
        </w:rPr>
      </w:pPr>
      <w:r>
        <w:t>For this study d</w:t>
      </w:r>
      <w:r w:rsidRPr="00D92694">
        <w:t>ata was collected</w:t>
      </w:r>
      <w:r>
        <w:t>,</w:t>
      </w:r>
      <w:r w:rsidRPr="00D92694">
        <w:t xml:space="preserve"> via a questionnaire</w:t>
      </w:r>
      <w:r>
        <w:t>,</w:t>
      </w:r>
      <w:r w:rsidRPr="00D92694">
        <w:t xml:space="preserve"> from sixty companies exporting textile and clothing and leather and footwear products from India to the EU.</w:t>
      </w:r>
      <w:r>
        <w:rPr>
          <w:rStyle w:val="FootnoteReference"/>
        </w:rPr>
        <w:footnoteReference w:id="6"/>
      </w:r>
      <w:r w:rsidRPr="00D92694">
        <w:t xml:space="preserve"> Firms</w:t>
      </w:r>
      <w:r>
        <w:t>,</w:t>
      </w:r>
      <w:r w:rsidRPr="00D92694">
        <w:t xml:space="preserve"> selected for the survey </w:t>
      </w:r>
      <w:r>
        <w:t xml:space="preserve">were based on </w:t>
      </w:r>
      <w:r w:rsidRPr="00D92694">
        <w:t xml:space="preserve">firm level information held by the Council for Leather Exporters, the Apparel Export Promotion Council and the Confederation of the Indian Textile Industry. The geographical spread of the sample covered the whole of India but focussed inevitably on the main sector hubs for the production of leather and footwear goods and textiles and apparel. </w:t>
      </w:r>
      <w:r w:rsidRPr="00D92694">
        <w:rPr>
          <w:bCs/>
        </w:rPr>
        <w:t>The exporters interviewed were located in the southern, northern and western hubs for textil</w:t>
      </w:r>
      <w:r>
        <w:rPr>
          <w:bCs/>
        </w:rPr>
        <w:t>es</w:t>
      </w:r>
      <w:r w:rsidR="00BC265D">
        <w:rPr>
          <w:bCs/>
        </w:rPr>
        <w:t>;</w:t>
      </w:r>
      <w:r>
        <w:rPr>
          <w:bCs/>
        </w:rPr>
        <w:t xml:space="preserve"> and s</w:t>
      </w:r>
      <w:r w:rsidRPr="00D92694">
        <w:rPr>
          <w:bCs/>
        </w:rPr>
        <w:t>outh, north and east for leather and footwear.</w:t>
      </w:r>
      <w:r w:rsidRPr="00D92694">
        <w:rPr>
          <w:rStyle w:val="FootnoteReference"/>
          <w:bCs/>
        </w:rPr>
        <w:footnoteReference w:id="7"/>
      </w:r>
      <w:r w:rsidRPr="00D92694">
        <w:rPr>
          <w:bCs/>
        </w:rPr>
        <w:t xml:space="preserve"> </w:t>
      </w:r>
      <w:r w:rsidRPr="00A32B2B">
        <w:rPr>
          <w:bCs/>
        </w:rPr>
        <w:t xml:space="preserve">The interview </w:t>
      </w:r>
      <w:r w:rsidRPr="00A32B2B">
        <w:rPr>
          <w:lang w:eastAsia="en-IN"/>
        </w:rPr>
        <w:t xml:space="preserve">questionnaire had two parts: the first part </w:t>
      </w:r>
      <w:r>
        <w:rPr>
          <w:lang w:eastAsia="en-IN"/>
        </w:rPr>
        <w:t>included</w:t>
      </w:r>
      <w:r w:rsidRPr="00A32B2B">
        <w:rPr>
          <w:lang w:eastAsia="en-IN"/>
        </w:rPr>
        <w:t xml:space="preserve"> questions on exporting firms’ characteristics, e.g. the firm’s main sector of activity, total turnover, total number of employees, total years of production and export experience. </w:t>
      </w:r>
      <w:r>
        <w:rPr>
          <w:lang w:eastAsia="en-IN"/>
        </w:rPr>
        <w:t>In</w:t>
      </w:r>
      <w:r w:rsidRPr="00A32B2B">
        <w:rPr>
          <w:lang w:eastAsia="en-IN"/>
        </w:rPr>
        <w:t xml:space="preserve"> the second part of the questionnaire, exporters were asked to ra</w:t>
      </w:r>
      <w:r>
        <w:rPr>
          <w:lang w:eastAsia="en-IN"/>
        </w:rPr>
        <w:t>nk</w:t>
      </w:r>
      <w:r w:rsidRPr="00A32B2B">
        <w:rPr>
          <w:lang w:eastAsia="en-IN"/>
        </w:rPr>
        <w:t xml:space="preserve"> their perception on the incidence of </w:t>
      </w:r>
      <w:r>
        <w:rPr>
          <w:lang w:eastAsia="en-IN"/>
        </w:rPr>
        <w:t>problems faced in exporting</w:t>
      </w:r>
      <w:r w:rsidRPr="00A32B2B">
        <w:rPr>
          <w:lang w:eastAsia="en-IN"/>
        </w:rPr>
        <w:t>.</w:t>
      </w:r>
    </w:p>
    <w:p w:rsidR="00A00479" w:rsidRPr="00D92694" w:rsidRDefault="00A00479" w:rsidP="00D67B6B">
      <w:pPr>
        <w:spacing w:before="240" w:line="360" w:lineRule="auto"/>
        <w:jc w:val="both"/>
      </w:pPr>
      <w:r>
        <w:t>A</w:t>
      </w:r>
      <w:r w:rsidRPr="00D92694">
        <w:t>n ordered five point Likert scale</w:t>
      </w:r>
      <w:r w:rsidRPr="00D92694">
        <w:rPr>
          <w:rStyle w:val="FootnoteReference"/>
        </w:rPr>
        <w:footnoteReference w:id="8"/>
      </w:r>
      <w:r w:rsidRPr="00D92694">
        <w:rPr>
          <w:lang w:eastAsia="en-IN"/>
        </w:rPr>
        <w:t xml:space="preserve"> required the </w:t>
      </w:r>
      <w:r w:rsidRPr="00D92694">
        <w:t xml:space="preserve">respondents </w:t>
      </w:r>
      <w:r w:rsidRPr="00D92694">
        <w:rPr>
          <w:lang w:eastAsia="en-IN"/>
        </w:rPr>
        <w:t xml:space="preserve">to </w:t>
      </w:r>
      <w:r w:rsidRPr="00D92694">
        <w:t>indicate one option best aligned with their view</w:t>
      </w:r>
      <w:r>
        <w:t>s</w:t>
      </w:r>
      <w:r w:rsidRPr="00D92694">
        <w:rPr>
          <w:lang w:eastAsia="en-IN"/>
        </w:rPr>
        <w:t xml:space="preserve"> and</w:t>
      </w:r>
      <w:r>
        <w:rPr>
          <w:lang w:eastAsia="en-IN"/>
        </w:rPr>
        <w:t xml:space="preserve"> to</w:t>
      </w:r>
      <w:r w:rsidRPr="00D92694">
        <w:rPr>
          <w:lang w:eastAsia="en-IN"/>
        </w:rPr>
        <w:t xml:space="preserve"> rate their perception o</w:t>
      </w:r>
      <w:r>
        <w:rPr>
          <w:lang w:eastAsia="en-IN"/>
        </w:rPr>
        <w:t>n the</w:t>
      </w:r>
      <w:r w:rsidRPr="00D92694">
        <w:rPr>
          <w:lang w:eastAsia="en-IN"/>
        </w:rPr>
        <w:t xml:space="preserve"> incidence of various export problems faced in current EU-India trade. </w:t>
      </w:r>
      <w:r w:rsidRPr="00D92694">
        <w:t xml:space="preserve">Responses were obtained on a five point scale ranging from “very significant barrier” (5) to “not an issue at all” (1), i.e., this was not perceived to be a barrier because the respondents did not face this barrier in trading with the EU. </w:t>
      </w:r>
      <w:r>
        <w:t xml:space="preserve">On the basis of an earlier </w:t>
      </w:r>
      <w:r w:rsidRPr="00D92694">
        <w:t>OECD study</w:t>
      </w:r>
      <w:r>
        <w:t xml:space="preserve"> (2005)</w:t>
      </w:r>
      <w:r w:rsidRPr="00D92694">
        <w:t xml:space="preserve"> on</w:t>
      </w:r>
      <w:r>
        <w:t xml:space="preserve"> Indian firms’ experience in</w:t>
      </w:r>
      <w:r w:rsidRPr="00D92694">
        <w:t xml:space="preserve"> the EU and Morgan</w:t>
      </w:r>
      <w:r>
        <w:t>’s</w:t>
      </w:r>
      <w:r w:rsidRPr="00D92694">
        <w:t xml:space="preserve"> (1997) </w:t>
      </w:r>
      <w:r>
        <w:t>taxonomy of</w:t>
      </w:r>
      <w:r w:rsidRPr="00D92694">
        <w:t xml:space="preserve"> trade barriers</w:t>
      </w:r>
      <w:r>
        <w:t>, this study classifies export problem</w:t>
      </w:r>
      <w:r w:rsidRPr="00D92694">
        <w:t>s in two main groups</w:t>
      </w:r>
      <w:r>
        <w:t>:</w:t>
      </w:r>
      <w:r w:rsidRPr="00D92694">
        <w:t xml:space="preserve"> external-foreign and internal-foreign</w:t>
      </w:r>
      <w:r>
        <w:t>.</w:t>
      </w:r>
      <w:r w:rsidRPr="00D92694">
        <w:rPr>
          <w:rStyle w:val="FootnoteReference"/>
        </w:rPr>
        <w:footnoteReference w:id="9"/>
      </w:r>
      <w:r>
        <w:t xml:space="preserve"> As the name suggests external-foreign problems</w:t>
      </w:r>
      <w:r w:rsidRPr="00D92694">
        <w:t xml:space="preserve"> arise in foreign</w:t>
      </w:r>
      <w:r>
        <w:t>-</w:t>
      </w:r>
      <w:r w:rsidRPr="00D92694">
        <w:t xml:space="preserve">external </w:t>
      </w:r>
      <w:r w:rsidRPr="00D92694">
        <w:lastRenderedPageBreak/>
        <w:t xml:space="preserve">environment of the </w:t>
      </w:r>
      <w:r>
        <w:t xml:space="preserve">exporting </w:t>
      </w:r>
      <w:r w:rsidRPr="00D92694">
        <w:t>firm</w:t>
      </w:r>
      <w:r>
        <w:t xml:space="preserve">s that </w:t>
      </w:r>
      <w:r w:rsidRPr="00D92694">
        <w:t>encompass</w:t>
      </w:r>
      <w:r>
        <w:t>es</w:t>
      </w:r>
      <w:r w:rsidRPr="00D92694">
        <w:t xml:space="preserve"> a lack of socio-cultural and linguistic awareness and wider market knowledge</w:t>
      </w:r>
      <w:r>
        <w:t xml:space="preserve"> as well as</w:t>
      </w:r>
      <w:r w:rsidRPr="00D92694">
        <w:t xml:space="preserve"> pricing and competitive pressures</w:t>
      </w:r>
      <w:r>
        <w:t>. This paper defines e</w:t>
      </w:r>
      <w:r w:rsidRPr="00D92694">
        <w:t xml:space="preserve">xternal-foreign problems </w:t>
      </w:r>
      <w:r>
        <w:t>as</w:t>
      </w:r>
      <w:r w:rsidRPr="00D92694">
        <w:t xml:space="preserve"> customs valuation and clearance</w:t>
      </w:r>
      <w:r>
        <w:t>s</w:t>
      </w:r>
      <w:r w:rsidRPr="00D92694">
        <w:t>, administrative and documentary formalities</w:t>
      </w:r>
      <w:r>
        <w:t>,</w:t>
      </w:r>
      <w:r w:rsidRPr="00D92694">
        <w:t xml:space="preserve"> foreign regulations and standards</w:t>
      </w:r>
      <w:r>
        <w:t xml:space="preserve">, </w:t>
      </w:r>
      <w:r w:rsidRPr="00D92694">
        <w:t>legal differences</w:t>
      </w:r>
      <w:r>
        <w:t xml:space="preserve">, problems complying with </w:t>
      </w:r>
      <w:r w:rsidRPr="00D92694">
        <w:t>testing and certification</w:t>
      </w:r>
      <w:r>
        <w:t xml:space="preserve">, </w:t>
      </w:r>
      <w:r w:rsidRPr="00D92694">
        <w:t>labelling and packaging</w:t>
      </w:r>
      <w:r>
        <w:t xml:space="preserve"> as well as </w:t>
      </w:r>
      <w:r w:rsidRPr="00D92694">
        <w:t>environmental requirements. Internal-foreign export problems</w:t>
      </w:r>
      <w:r w:rsidR="00BC265D">
        <w:t>,</w:t>
      </w:r>
      <w:r w:rsidRPr="00D92694">
        <w:t xml:space="preserve"> </w:t>
      </w:r>
      <w:r w:rsidR="00BC265D">
        <w:t>originate</w:t>
      </w:r>
      <w:r w:rsidRPr="00D92694">
        <w:t xml:space="preserve"> from </w:t>
      </w:r>
      <w:r>
        <w:t xml:space="preserve">exporters’ </w:t>
      </w:r>
      <w:r w:rsidRPr="00D92694">
        <w:t>organisation</w:t>
      </w:r>
      <w:r>
        <w:t>al structure</w:t>
      </w:r>
      <w:r w:rsidR="00BC265D">
        <w:t>,</w:t>
      </w:r>
      <w:r>
        <w:t xml:space="preserve"> are include issues like </w:t>
      </w:r>
      <w:r w:rsidR="00BC265D">
        <w:t xml:space="preserve">high </w:t>
      </w:r>
      <w:r w:rsidRPr="00D92694">
        <w:t>transport and distributional costs</w:t>
      </w:r>
      <w:r>
        <w:t>,</w:t>
      </w:r>
      <w:r w:rsidRPr="00D92694">
        <w:t xml:space="preserve"> payment delays and ineffective communication with foreign distributors</w:t>
      </w:r>
      <w:r>
        <w:t xml:space="preserve"> as a direct consequence of </w:t>
      </w:r>
      <w:r w:rsidRPr="00D92694">
        <w:t>information asymmetry</w:t>
      </w:r>
      <w:r>
        <w:t xml:space="preserve"> and </w:t>
      </w:r>
      <w:r w:rsidRPr="00D92694">
        <w:t>domestic infrastructure problems</w:t>
      </w:r>
      <w:r>
        <w:t xml:space="preserve"> as well as </w:t>
      </w:r>
      <w:r w:rsidRPr="00D92694">
        <w:t>corruption and theft.</w:t>
      </w:r>
    </w:p>
    <w:p w:rsidR="00A00479" w:rsidRPr="00D92694" w:rsidRDefault="00A00479" w:rsidP="00D92694">
      <w:pPr>
        <w:spacing w:line="360" w:lineRule="auto"/>
        <w:jc w:val="both"/>
      </w:pPr>
    </w:p>
    <w:p w:rsidR="00A00479" w:rsidRPr="00D92694" w:rsidRDefault="00A00479" w:rsidP="00B47F93">
      <w:pPr>
        <w:pStyle w:val="Heading2"/>
        <w:numPr>
          <w:ilvl w:val="0"/>
          <w:numId w:val="5"/>
        </w:numPr>
        <w:spacing w:line="360" w:lineRule="auto"/>
        <w:jc w:val="both"/>
        <w:rPr>
          <w:rFonts w:ascii="Times New Roman" w:hAnsi="Times New Roman" w:cs="Times New Roman"/>
        </w:rPr>
      </w:pPr>
      <w:r w:rsidRPr="00D92694">
        <w:rPr>
          <w:rFonts w:ascii="Times New Roman" w:hAnsi="Times New Roman" w:cs="Times New Roman"/>
        </w:rPr>
        <w:t>Data Analysis, model estimation and findings</w:t>
      </w:r>
    </w:p>
    <w:p w:rsidR="00A00479" w:rsidRDefault="00A00479" w:rsidP="00D92694">
      <w:pPr>
        <w:spacing w:line="360" w:lineRule="auto"/>
        <w:jc w:val="both"/>
      </w:pPr>
      <w:r>
        <w:t>F</w:t>
      </w:r>
      <w:r w:rsidRPr="00D92694">
        <w:t xml:space="preserve">actor and cluster analysis </w:t>
      </w:r>
      <w:r>
        <w:t xml:space="preserve">are employed </w:t>
      </w:r>
      <w:r w:rsidRPr="00D92694">
        <w:t>to analyse the data on Indi</w:t>
      </w:r>
      <w:r>
        <w:t xml:space="preserve">an exporters’ perceptions </w:t>
      </w:r>
      <w:r w:rsidR="00BC265D">
        <w:t>about the</w:t>
      </w:r>
      <w:r>
        <w:t xml:space="preserve"> </w:t>
      </w:r>
      <w:r w:rsidRPr="00D92694">
        <w:t>problems</w:t>
      </w:r>
      <w:r>
        <w:t xml:space="preserve"> faced in the EU</w:t>
      </w:r>
      <w:r w:rsidR="00BC265D">
        <w:t xml:space="preserve"> market</w:t>
      </w:r>
      <w:r w:rsidRPr="00D92694">
        <w:t xml:space="preserve">. Cross tabulation </w:t>
      </w:r>
      <w:r>
        <w:t xml:space="preserve">allows </w:t>
      </w:r>
      <w:r w:rsidRPr="00D92694">
        <w:t>draw</w:t>
      </w:r>
      <w:r>
        <w:t>ing inference</w:t>
      </w:r>
      <w:r w:rsidRPr="00D92694">
        <w:t xml:space="preserve"> </w:t>
      </w:r>
      <w:r>
        <w:t>about</w:t>
      </w:r>
      <w:r w:rsidRPr="00D92694">
        <w:t xml:space="preserve"> the relationship between exporters’ perceptions and exogenous variables </w:t>
      </w:r>
      <w:r>
        <w:t>like</w:t>
      </w:r>
      <w:r w:rsidRPr="00D92694">
        <w:t xml:space="preserve"> firm size, number of employees and exporters’ experience. </w:t>
      </w:r>
      <w:r>
        <w:t>W</w:t>
      </w:r>
      <w:r w:rsidRPr="00D92694">
        <w:t xml:space="preserve">hile the first part of the analysis draws </w:t>
      </w:r>
      <w:r>
        <w:t>inference</w:t>
      </w:r>
      <w:r w:rsidRPr="00D92694">
        <w:t xml:space="preserve"> from endogeno</w:t>
      </w:r>
      <w:r>
        <w:t>usly identified problems</w:t>
      </w:r>
      <w:r w:rsidRPr="00D92694">
        <w:t>, in the second part</w:t>
      </w:r>
      <w:r>
        <w:t>, we attempt to quantify firms’ priorities and</w:t>
      </w:r>
      <w:r w:rsidRPr="00D92694">
        <w:t xml:space="preserve"> strateg</w:t>
      </w:r>
      <w:r w:rsidR="00D540CD">
        <w:t>y orientation towards these perceptions</w:t>
      </w:r>
      <w:r w:rsidRPr="00D92694">
        <w:t>.</w:t>
      </w:r>
      <w:r>
        <w:t xml:space="preserve"> In this model, as a first step the </w:t>
      </w:r>
      <w:r w:rsidR="00D540CD">
        <w:t>exploratory factor analysis (</w:t>
      </w:r>
      <w:r w:rsidRPr="00D92694">
        <w:t>EFA</w:t>
      </w:r>
      <w:r w:rsidR="00D540CD">
        <w:t>)</w:t>
      </w:r>
      <w:r w:rsidRPr="00D92694">
        <w:t xml:space="preserve"> </w:t>
      </w:r>
      <w:r>
        <w:t>identifies</w:t>
      </w:r>
      <w:r w:rsidRPr="00D92694">
        <w:t xml:space="preserve"> latent variables (factors) that reflect Indian </w:t>
      </w:r>
      <w:r>
        <w:t xml:space="preserve">exporters’ </w:t>
      </w:r>
      <w:r w:rsidRPr="00D92694">
        <w:t>perceptions to problems</w:t>
      </w:r>
      <w:r>
        <w:t xml:space="preserve"> in the EU</w:t>
      </w:r>
      <w:r w:rsidRPr="00D92694">
        <w:t xml:space="preserve">. </w:t>
      </w:r>
      <w:r>
        <w:t xml:space="preserve">In the second step, following the methodology of </w:t>
      </w:r>
      <w:r w:rsidRPr="00D92694">
        <w:t>Salavou and Halikias (2009)</w:t>
      </w:r>
      <w:r>
        <w:t>, c</w:t>
      </w:r>
      <w:r w:rsidRPr="00D92694">
        <w:t>luster analysis</w:t>
      </w:r>
      <w:r>
        <w:t xml:space="preserve"> (</w:t>
      </w:r>
      <w:r w:rsidRPr="00D92694">
        <w:t xml:space="preserve">SPSS </w:t>
      </w:r>
      <w:r>
        <w:t>version 16)</w:t>
      </w:r>
      <w:r w:rsidRPr="00905F7B">
        <w:t xml:space="preserve"> </w:t>
      </w:r>
      <w:r>
        <w:t xml:space="preserve">allows </w:t>
      </w:r>
      <w:r w:rsidR="00BC265D">
        <w:t>grouping</w:t>
      </w:r>
      <w:r>
        <w:t xml:space="preserve"> </w:t>
      </w:r>
      <w:r w:rsidR="00BC265D">
        <w:t xml:space="preserve">all </w:t>
      </w:r>
      <w:r>
        <w:t>exporting firms</w:t>
      </w:r>
      <w:r w:rsidR="00BC265D">
        <w:t xml:space="preserve"> into different clusters</w:t>
      </w:r>
      <w:r w:rsidRPr="00D92694">
        <w:t xml:space="preserve">. </w:t>
      </w:r>
      <w:r>
        <w:t>Finally,</w:t>
      </w:r>
      <w:r w:rsidRPr="00D92694">
        <w:t xml:space="preserve"> cross-tabulation between export problems and firms’ perceptions </w:t>
      </w:r>
      <w:r w:rsidR="00BC265D">
        <w:t>shows strategy orientation of Indian small and medium exporting firms included in the sample</w:t>
      </w:r>
      <w:r>
        <w:t>.</w:t>
      </w:r>
      <w:r>
        <w:rPr>
          <w:rStyle w:val="FootnoteReference"/>
        </w:rPr>
        <w:footnoteReference w:id="10"/>
      </w:r>
      <w:r>
        <w:t xml:space="preserve"> </w:t>
      </w:r>
    </w:p>
    <w:p w:rsidR="00A00479" w:rsidRDefault="00A00479" w:rsidP="00D92694">
      <w:pPr>
        <w:spacing w:line="360" w:lineRule="auto"/>
        <w:jc w:val="both"/>
      </w:pPr>
    </w:p>
    <w:p w:rsidR="00A00479" w:rsidRDefault="00A00479" w:rsidP="00D92694">
      <w:pPr>
        <w:spacing w:line="360" w:lineRule="auto"/>
        <w:jc w:val="both"/>
      </w:pPr>
      <w:r w:rsidRPr="00D92694">
        <w:t xml:space="preserve">Figure 1 shows the </w:t>
      </w:r>
      <w:r>
        <w:t>c</w:t>
      </w:r>
      <w:r w:rsidRPr="00D92694">
        <w:t xml:space="preserve">ommon factor </w:t>
      </w:r>
      <w:r>
        <w:t>m</w:t>
      </w:r>
      <w:r w:rsidRPr="00D92694">
        <w:t xml:space="preserve">odel for </w:t>
      </w:r>
      <w:r>
        <w:rPr>
          <w:i/>
        </w:rPr>
        <w:t>N</w:t>
      </w:r>
      <w:r w:rsidRPr="00D92694">
        <w:t xml:space="preserve"> factors and export problems</w:t>
      </w:r>
      <w:r w:rsidR="00BC265D">
        <w:t xml:space="preserve"> faced by firms in the EU</w:t>
      </w:r>
      <w:r w:rsidRPr="00D92694">
        <w:t xml:space="preserve">. </w:t>
      </w:r>
      <w:r w:rsidR="00BC265D">
        <w:t>F</w:t>
      </w:r>
      <w:r w:rsidRPr="00D92694">
        <w:t xml:space="preserve">actors 1 to </w:t>
      </w:r>
      <w:r>
        <w:rPr>
          <w:i/>
        </w:rPr>
        <w:t>N</w:t>
      </w:r>
      <w:r>
        <w:t xml:space="preserve"> refer to unobserved indicators and</w:t>
      </w:r>
      <w:r w:rsidRPr="00D92694">
        <w:t xml:space="preserve"> </w:t>
      </w:r>
      <w:r w:rsidRPr="00542B59">
        <w:rPr>
          <w:i/>
        </w:rPr>
        <w:t>E1</w:t>
      </w:r>
      <w:r w:rsidRPr="00D92694">
        <w:t xml:space="preserve"> to </w:t>
      </w:r>
      <w:r w:rsidRPr="00542B59">
        <w:rPr>
          <w:i/>
        </w:rPr>
        <w:t>E12</w:t>
      </w:r>
      <w:r w:rsidRPr="00D92694">
        <w:t xml:space="preserve"> </w:t>
      </w:r>
      <w:r w:rsidR="00BC265D">
        <w:t xml:space="preserve">are </w:t>
      </w:r>
      <w:r w:rsidRPr="00D92694">
        <w:t>measurement errors.</w:t>
      </w:r>
    </w:p>
    <w:p w:rsidR="00A00479" w:rsidRPr="00D92694" w:rsidRDefault="00A00479" w:rsidP="00D92694">
      <w:pPr>
        <w:spacing w:line="360" w:lineRule="auto"/>
        <w:jc w:val="both"/>
      </w:pPr>
    </w:p>
    <w:p w:rsidR="00A00479" w:rsidRDefault="00A00479" w:rsidP="002D0DAB">
      <w:pPr>
        <w:pStyle w:val="Caption"/>
        <w:keepNext/>
        <w:jc w:val="both"/>
      </w:pPr>
      <w:r>
        <w:lastRenderedPageBreak/>
        <w:t xml:space="preserve">Figure </w:t>
      </w:r>
      <w:fldSimple w:instr=" SEQ Figure \* ARABIC ">
        <w:r>
          <w:rPr>
            <w:noProof/>
          </w:rPr>
          <w:t>1</w:t>
        </w:r>
      </w:fldSimple>
      <w:r>
        <w:t>: Exploratory Factor Analysis</w:t>
      </w:r>
    </w:p>
    <w:p w:rsidR="00A00479" w:rsidRPr="00D92694" w:rsidRDefault="002F5A52" w:rsidP="00D92694">
      <w:pPr>
        <w:spacing w:line="360" w:lineRule="auto"/>
        <w:jc w:val="both"/>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untitled" style="width:348.75pt;height:375.75pt;visibility:visible">
            <v:imagedata r:id="rId7" o:title=""/>
          </v:shape>
        </w:pict>
      </w:r>
    </w:p>
    <w:p w:rsidR="00A00479" w:rsidRPr="00D92694" w:rsidRDefault="00A00479" w:rsidP="00D92694">
      <w:pPr>
        <w:spacing w:line="360" w:lineRule="auto"/>
        <w:jc w:val="both"/>
      </w:pPr>
      <w:r w:rsidRPr="00D92694">
        <w:t>The factor model for our sample data is:</w:t>
      </w:r>
    </w:p>
    <w:p w:rsidR="00A00479" w:rsidRPr="00D92694" w:rsidRDefault="00A00479" w:rsidP="00D92694">
      <w:pPr>
        <w:spacing w:line="360" w:lineRule="auto"/>
        <w:jc w:val="both"/>
      </w:pPr>
      <w:r w:rsidRPr="00D92694">
        <w:rPr>
          <w:position w:val="-14"/>
        </w:rPr>
        <w:object w:dxaOrig="2260" w:dyaOrig="400">
          <v:shape id="_x0000_i1026" type="#_x0000_t75" style="width:113.25pt;height:20.25pt" o:ole="">
            <v:imagedata r:id="rId8" o:title=""/>
          </v:shape>
          <o:OLEObject Type="Embed" ProgID="Equation.3" ShapeID="_x0000_i1026" DrawAspect="Content" ObjectID="_1334182950" r:id="rId9"/>
        </w:object>
      </w:r>
      <w:r w:rsidRPr="00D92694">
        <w:t xml:space="preserve">                                                                                                 (1)</w:t>
      </w:r>
    </w:p>
    <w:p w:rsidR="00A00479" w:rsidRDefault="00A00479" w:rsidP="00D92694">
      <w:pPr>
        <w:spacing w:line="360" w:lineRule="auto"/>
        <w:jc w:val="both"/>
      </w:pPr>
      <w:r w:rsidRPr="00D92694">
        <w:t>Where</w:t>
      </w:r>
      <w:r>
        <w:t>:</w:t>
      </w:r>
    </w:p>
    <w:p w:rsidR="00A00479" w:rsidRDefault="00A00479" w:rsidP="00D92694">
      <w:pPr>
        <w:spacing w:line="360" w:lineRule="auto"/>
        <w:jc w:val="both"/>
      </w:pPr>
      <w:r w:rsidRPr="00D92694">
        <w:rPr>
          <w:position w:val="-14"/>
        </w:rPr>
        <w:object w:dxaOrig="380" w:dyaOrig="380">
          <v:shape id="_x0000_i1027" type="#_x0000_t75" style="width:18.75pt;height:18.75pt" o:ole="">
            <v:imagedata r:id="rId10" o:title=""/>
          </v:shape>
          <o:OLEObject Type="Embed" ProgID="Equation.3" ShapeID="_x0000_i1027" DrawAspect="Content" ObjectID="_1334182951" r:id="rId11"/>
        </w:object>
      </w:r>
      <w:r>
        <w:rPr>
          <w:position w:val="-14"/>
        </w:rPr>
        <w:t xml:space="preserve">: </w:t>
      </w:r>
      <w:r>
        <w:t>Sample covariance matrix</w:t>
      </w:r>
    </w:p>
    <w:p w:rsidR="00A00479" w:rsidRDefault="00A00479" w:rsidP="00D92694">
      <w:pPr>
        <w:spacing w:line="360" w:lineRule="auto"/>
        <w:jc w:val="both"/>
      </w:pPr>
      <w:r w:rsidRPr="00D92694">
        <w:t>B</w:t>
      </w:r>
      <w:r>
        <w:t>: Weights assigned to the factors</w:t>
      </w:r>
    </w:p>
    <w:p w:rsidR="00A00479" w:rsidRDefault="00A00479" w:rsidP="00D92694">
      <w:pPr>
        <w:spacing w:line="360" w:lineRule="auto"/>
        <w:jc w:val="both"/>
      </w:pPr>
      <w:r w:rsidRPr="00D92694">
        <w:rPr>
          <w:position w:val="-4"/>
        </w:rPr>
        <w:object w:dxaOrig="260" w:dyaOrig="240">
          <v:shape id="_x0000_i1028" type="#_x0000_t75" style="width:12.75pt;height:12pt" o:ole="">
            <v:imagedata r:id="rId12" o:title=""/>
          </v:shape>
          <o:OLEObject Type="Embed" ProgID="Equation.3" ShapeID="_x0000_i1028" DrawAspect="Content" ObjectID="_1334182952" r:id="rId13"/>
        </w:object>
      </w:r>
      <w:r>
        <w:rPr>
          <w:position w:val="-4"/>
        </w:rPr>
        <w:t>:</w:t>
      </w:r>
      <w:r w:rsidRPr="00D92694">
        <w:t xml:space="preserve"> Common factors correlation matrix</w:t>
      </w:r>
      <w:r>
        <w:t>, and</w:t>
      </w:r>
    </w:p>
    <w:p w:rsidR="00A00479" w:rsidRDefault="00A00479" w:rsidP="00D92694">
      <w:pPr>
        <w:spacing w:line="360" w:lineRule="auto"/>
        <w:jc w:val="both"/>
      </w:pPr>
      <w:r w:rsidRPr="00D92694">
        <w:rPr>
          <w:position w:val="-10"/>
        </w:rPr>
        <w:object w:dxaOrig="420" w:dyaOrig="340">
          <v:shape id="_x0000_i1029" type="#_x0000_t75" style="width:21pt;height:17.25pt" o:ole="">
            <v:imagedata r:id="rId14" o:title=""/>
          </v:shape>
          <o:OLEObject Type="Embed" ProgID="Equation.3" ShapeID="_x0000_i1029" DrawAspect="Content" ObjectID="_1334182953" r:id="rId15"/>
        </w:object>
      </w:r>
      <w:r>
        <w:rPr>
          <w:position w:val="-10"/>
        </w:rPr>
        <w:t xml:space="preserve">: </w:t>
      </w:r>
      <w:r w:rsidRPr="00D92694">
        <w:t>sample error</w:t>
      </w:r>
    </w:p>
    <w:p w:rsidR="00A00479" w:rsidRDefault="00A00479" w:rsidP="00D92694">
      <w:pPr>
        <w:spacing w:line="360" w:lineRule="auto"/>
        <w:jc w:val="both"/>
      </w:pPr>
    </w:p>
    <w:p w:rsidR="00A00479" w:rsidRPr="00D92694" w:rsidRDefault="00A00479" w:rsidP="00D92694">
      <w:pPr>
        <w:spacing w:line="360" w:lineRule="auto"/>
        <w:jc w:val="both"/>
      </w:pPr>
      <w:r w:rsidRPr="00D92694">
        <w:t>Table 1 shows that 5 factors with a standardised factor loading below 0.60 are excluded given these do not “load” in the factors as they lie outside the optimum and minimum range of factor loadings.</w:t>
      </w:r>
      <w:r w:rsidRPr="00C75683">
        <w:t xml:space="preserve"> According to Hair </w:t>
      </w:r>
      <w:r w:rsidRPr="00C75683">
        <w:rPr>
          <w:i/>
        </w:rPr>
        <w:t xml:space="preserve">et al. </w:t>
      </w:r>
      <w:r w:rsidRPr="00C75683">
        <w:t>(2005)</w:t>
      </w:r>
      <w:r>
        <w:t>,</w:t>
      </w:r>
      <w:r w:rsidRPr="00C75683">
        <w:t xml:space="preserve"> the appropriate sample size for EFA with 12 factor </w:t>
      </w:r>
      <w:r w:rsidRPr="00C75683">
        <w:lastRenderedPageBreak/>
        <w:t>loadings is 60 observations.</w:t>
      </w:r>
      <w:r>
        <w:t xml:space="preserve"> S</w:t>
      </w:r>
      <w:r w:rsidRPr="00C75683">
        <w:t>tandardised factor loadings must</w:t>
      </w:r>
      <w:r>
        <w:t xml:space="preserve"> also</w:t>
      </w:r>
      <w:r w:rsidRPr="00C75683">
        <w:t xml:space="preserve"> be above 0.5 and “ideally” exceed 0.70 to be successfully “loaded” in the common factors (Gallagher </w:t>
      </w:r>
      <w:r w:rsidRPr="00C75683">
        <w:rPr>
          <w:i/>
        </w:rPr>
        <w:t>et al</w:t>
      </w:r>
      <w:r w:rsidRPr="00C75683">
        <w:t>., 2008</w:t>
      </w:r>
      <w:r>
        <w:t>). On this basis f</w:t>
      </w:r>
      <w:r w:rsidRPr="00D92694">
        <w:t xml:space="preserve">actors </w:t>
      </w:r>
      <w:r>
        <w:t>identified as relevant in our model are</w:t>
      </w:r>
      <w:r w:rsidRPr="00D92694">
        <w:t xml:space="preserve"> customs valuation; customs clearance; administration and documentation formalities; regulations and standards; infrastructure; and, transportation costs.</w:t>
      </w:r>
      <w:r>
        <w:t xml:space="preserve"> Those </w:t>
      </w:r>
      <w:r w:rsidRPr="00D92694">
        <w:t xml:space="preserve">excluded are: testing &amp; certification, labelling &amp; packaging, environmental measures, legal differences and information asymmetry. </w:t>
      </w:r>
    </w:p>
    <w:p w:rsidR="00A00479" w:rsidRDefault="00A00479" w:rsidP="002D0DAB">
      <w:pPr>
        <w:pStyle w:val="Caption"/>
        <w:keepNext/>
      </w:pPr>
    </w:p>
    <w:p w:rsidR="00A00479" w:rsidRDefault="00A00479" w:rsidP="002D0DAB">
      <w:pPr>
        <w:pStyle w:val="Caption"/>
        <w:keepNext/>
      </w:pPr>
      <w:r>
        <w:t xml:space="preserve">Table </w:t>
      </w:r>
      <w:fldSimple w:instr=" SEQ Table \* ARABIC ">
        <w:r>
          <w:rPr>
            <w:noProof/>
          </w:rPr>
          <w:t>1</w:t>
        </w:r>
      </w:fldSimple>
    </w:p>
    <w:tbl>
      <w:tblPr>
        <w:tblW w:w="9497" w:type="dxa"/>
        <w:jc w:val="center"/>
        <w:tblInd w:w="108" w:type="dxa"/>
        <w:tblLayout w:type="fixed"/>
        <w:tblLook w:val="00A0"/>
      </w:tblPr>
      <w:tblGrid>
        <w:gridCol w:w="6034"/>
        <w:gridCol w:w="1154"/>
        <w:gridCol w:w="1154"/>
        <w:gridCol w:w="1155"/>
      </w:tblGrid>
      <w:tr w:rsidR="00A00479" w:rsidRPr="001E1ECE" w:rsidTr="002D0DAB">
        <w:trPr>
          <w:trHeight w:val="312"/>
          <w:jc w:val="center"/>
        </w:trPr>
        <w:tc>
          <w:tcPr>
            <w:tcW w:w="6034" w:type="dxa"/>
            <w:tcBorders>
              <w:top w:val="single" w:sz="4" w:space="0" w:color="auto"/>
            </w:tcBorders>
            <w:noWrap/>
            <w:vAlign w:val="bottom"/>
          </w:tcPr>
          <w:p w:rsidR="00A00479" w:rsidRPr="001E1ECE" w:rsidRDefault="00A00479" w:rsidP="00C75683">
            <w:pPr>
              <w:rPr>
                <w:rFonts w:eastAsia="Times New Roman"/>
                <w:color w:val="000000"/>
                <w:lang w:eastAsia="en-GB"/>
              </w:rPr>
            </w:pPr>
            <w:r w:rsidRPr="001E1ECE">
              <w:rPr>
                <w:rFonts w:eastAsia="Times New Roman"/>
                <w:color w:val="000000"/>
                <w:lang w:eastAsia="en-GB"/>
              </w:rPr>
              <w:t> </w:t>
            </w:r>
          </w:p>
        </w:tc>
        <w:tc>
          <w:tcPr>
            <w:tcW w:w="3463" w:type="dxa"/>
            <w:gridSpan w:val="3"/>
            <w:tcBorders>
              <w:top w:val="single" w:sz="4" w:space="0" w:color="auto"/>
            </w:tcBorders>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Factor Loadings</w:t>
            </w:r>
            <w:r>
              <w:rPr>
                <w:rFonts w:eastAsia="Times New Roman"/>
                <w:color w:val="000000"/>
                <w:lang w:eastAsia="en-GB"/>
              </w:rPr>
              <w:t xml:space="preserve"> </w:t>
            </w:r>
            <w:r w:rsidRPr="001E1ECE">
              <w:rPr>
                <w:rFonts w:eastAsia="Times New Roman"/>
                <w:color w:val="000000"/>
                <w:vertAlign w:val="superscript"/>
                <w:lang w:eastAsia="en-GB"/>
              </w:rPr>
              <w:t>a</w:t>
            </w:r>
          </w:p>
        </w:tc>
      </w:tr>
      <w:tr w:rsidR="00A00479" w:rsidRPr="001E1ECE" w:rsidTr="002D0DAB">
        <w:trPr>
          <w:trHeight w:val="312"/>
          <w:jc w:val="center"/>
        </w:trPr>
        <w:tc>
          <w:tcPr>
            <w:tcW w:w="6034" w:type="dxa"/>
            <w:tcBorders>
              <w:bottom w:val="single" w:sz="4" w:space="0" w:color="auto"/>
            </w:tcBorders>
            <w:noWrap/>
            <w:vAlign w:val="bottom"/>
          </w:tcPr>
          <w:p w:rsidR="00A00479" w:rsidRPr="001E1ECE" w:rsidRDefault="00A00479" w:rsidP="00C75683">
            <w:pPr>
              <w:rPr>
                <w:rFonts w:eastAsia="Times New Roman"/>
                <w:color w:val="000000"/>
                <w:lang w:eastAsia="en-GB"/>
              </w:rPr>
            </w:pPr>
            <w:r w:rsidRPr="001E1ECE">
              <w:rPr>
                <w:rFonts w:eastAsia="Times New Roman"/>
                <w:color w:val="000000"/>
                <w:lang w:eastAsia="en-GB"/>
              </w:rPr>
              <w:t> </w:t>
            </w:r>
            <w:r w:rsidRPr="00C03F28">
              <w:rPr>
                <w:rFonts w:eastAsia="Times New Roman"/>
                <w:color w:val="000000"/>
                <w:lang w:eastAsia="en-GB"/>
              </w:rPr>
              <w:t>Variables</w:t>
            </w:r>
          </w:p>
        </w:tc>
        <w:tc>
          <w:tcPr>
            <w:tcW w:w="1154" w:type="dxa"/>
            <w:tcBorders>
              <w:bottom w:val="single" w:sz="4" w:space="0" w:color="auto"/>
            </w:tcBorders>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Factor 1</w:t>
            </w:r>
          </w:p>
        </w:tc>
        <w:tc>
          <w:tcPr>
            <w:tcW w:w="1154" w:type="dxa"/>
            <w:tcBorders>
              <w:bottom w:val="single" w:sz="4" w:space="0" w:color="auto"/>
            </w:tcBorders>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Factor 2</w:t>
            </w:r>
          </w:p>
        </w:tc>
        <w:tc>
          <w:tcPr>
            <w:tcW w:w="1155" w:type="dxa"/>
            <w:tcBorders>
              <w:bottom w:val="single" w:sz="4" w:space="0" w:color="auto"/>
            </w:tcBorders>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Factor 3</w:t>
            </w:r>
          </w:p>
        </w:tc>
      </w:tr>
      <w:tr w:rsidR="00A00479" w:rsidRPr="001E1ECE" w:rsidTr="002D0DAB">
        <w:trPr>
          <w:trHeight w:val="312"/>
          <w:jc w:val="center"/>
        </w:trPr>
        <w:tc>
          <w:tcPr>
            <w:tcW w:w="6034" w:type="dxa"/>
            <w:tcBorders>
              <w:top w:val="single" w:sz="4" w:space="0" w:color="auto"/>
            </w:tcBorders>
            <w:noWrap/>
            <w:vAlign w:val="bottom"/>
          </w:tcPr>
          <w:p w:rsidR="00A00479" w:rsidRPr="001E1ECE" w:rsidRDefault="00A00479" w:rsidP="00C75683">
            <w:pPr>
              <w:rPr>
                <w:rFonts w:eastAsia="Times New Roman"/>
                <w:color w:val="000000"/>
                <w:lang w:eastAsia="en-GB"/>
              </w:rPr>
            </w:pPr>
            <w:r w:rsidRPr="001E1ECE">
              <w:rPr>
                <w:rFonts w:eastAsia="Times New Roman"/>
                <w:color w:val="000000"/>
                <w:lang w:eastAsia="en-GB"/>
              </w:rPr>
              <w:t>Customs Valuation</w:t>
            </w:r>
          </w:p>
        </w:tc>
        <w:tc>
          <w:tcPr>
            <w:tcW w:w="1154" w:type="dxa"/>
            <w:tcBorders>
              <w:top w:val="single" w:sz="4" w:space="0" w:color="auto"/>
            </w:tcBorders>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0.78</w:t>
            </w:r>
          </w:p>
        </w:tc>
        <w:tc>
          <w:tcPr>
            <w:tcW w:w="1154" w:type="dxa"/>
            <w:tcBorders>
              <w:top w:val="single" w:sz="4" w:space="0" w:color="auto"/>
            </w:tcBorders>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xml:space="preserve"> </w:t>
            </w:r>
          </w:p>
        </w:tc>
        <w:tc>
          <w:tcPr>
            <w:tcW w:w="1155" w:type="dxa"/>
            <w:tcBorders>
              <w:top w:val="single" w:sz="4" w:space="0" w:color="auto"/>
            </w:tcBorders>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xml:space="preserve"> </w:t>
            </w:r>
          </w:p>
        </w:tc>
      </w:tr>
      <w:tr w:rsidR="00A00479" w:rsidRPr="001E1ECE" w:rsidTr="002D0DAB">
        <w:trPr>
          <w:trHeight w:val="312"/>
          <w:jc w:val="center"/>
        </w:trPr>
        <w:tc>
          <w:tcPr>
            <w:tcW w:w="6034" w:type="dxa"/>
            <w:noWrap/>
            <w:vAlign w:val="bottom"/>
          </w:tcPr>
          <w:p w:rsidR="00A00479" w:rsidRPr="001E1ECE" w:rsidRDefault="00A00479" w:rsidP="00C75683">
            <w:pPr>
              <w:rPr>
                <w:rFonts w:eastAsia="Times New Roman"/>
                <w:color w:val="000000"/>
                <w:lang w:eastAsia="en-GB"/>
              </w:rPr>
            </w:pPr>
            <w:r w:rsidRPr="001E1ECE">
              <w:rPr>
                <w:rFonts w:eastAsia="Times New Roman"/>
                <w:color w:val="000000"/>
                <w:lang w:eastAsia="en-GB"/>
              </w:rPr>
              <w:t>Customs Clearance</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0.83</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c>
          <w:tcPr>
            <w:tcW w:w="1155"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r>
      <w:tr w:rsidR="00A00479" w:rsidRPr="001E1ECE" w:rsidTr="002D0DAB">
        <w:trPr>
          <w:trHeight w:val="312"/>
          <w:jc w:val="center"/>
        </w:trPr>
        <w:tc>
          <w:tcPr>
            <w:tcW w:w="6034" w:type="dxa"/>
            <w:noWrap/>
            <w:vAlign w:val="bottom"/>
          </w:tcPr>
          <w:p w:rsidR="00A00479" w:rsidRPr="001E1ECE" w:rsidRDefault="00A00479" w:rsidP="00C75683">
            <w:pPr>
              <w:rPr>
                <w:rFonts w:eastAsia="Times New Roman"/>
                <w:color w:val="000000"/>
                <w:lang w:eastAsia="en-GB"/>
              </w:rPr>
            </w:pPr>
            <w:r w:rsidRPr="001E1ECE">
              <w:rPr>
                <w:rFonts w:eastAsia="Times New Roman"/>
                <w:color w:val="000000"/>
                <w:lang w:eastAsia="en-GB"/>
              </w:rPr>
              <w:t>Admin</w:t>
            </w:r>
            <w:r w:rsidR="00EA5081">
              <w:rPr>
                <w:rFonts w:eastAsia="Times New Roman"/>
                <w:color w:val="000000"/>
                <w:lang w:eastAsia="en-GB"/>
              </w:rPr>
              <w:t>istration</w:t>
            </w:r>
            <w:r w:rsidRPr="001E1ECE">
              <w:rPr>
                <w:rFonts w:eastAsia="Times New Roman"/>
                <w:color w:val="000000"/>
                <w:lang w:eastAsia="en-GB"/>
              </w:rPr>
              <w:t xml:space="preserve"> and Documentation. </w:t>
            </w:r>
            <w:r w:rsidR="00BC265D" w:rsidRPr="001E1ECE">
              <w:rPr>
                <w:rFonts w:eastAsia="Times New Roman"/>
                <w:color w:val="000000"/>
                <w:lang w:eastAsia="en-GB"/>
              </w:rPr>
              <w:t>F</w:t>
            </w:r>
            <w:r w:rsidRPr="001E1ECE">
              <w:rPr>
                <w:rFonts w:eastAsia="Times New Roman"/>
                <w:color w:val="000000"/>
                <w:lang w:eastAsia="en-GB"/>
              </w:rPr>
              <w:t>ormalities</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0.79</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c>
          <w:tcPr>
            <w:tcW w:w="1155"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r>
      <w:tr w:rsidR="00A00479" w:rsidRPr="001E1ECE" w:rsidTr="002D0DAB">
        <w:trPr>
          <w:trHeight w:val="312"/>
          <w:jc w:val="center"/>
        </w:trPr>
        <w:tc>
          <w:tcPr>
            <w:tcW w:w="6034" w:type="dxa"/>
            <w:noWrap/>
            <w:vAlign w:val="bottom"/>
          </w:tcPr>
          <w:p w:rsidR="00A00479" w:rsidRPr="001E1ECE" w:rsidRDefault="00A00479" w:rsidP="00C75683">
            <w:pPr>
              <w:rPr>
                <w:rFonts w:eastAsia="Times New Roman"/>
                <w:color w:val="000000"/>
                <w:lang w:eastAsia="en-GB"/>
              </w:rPr>
            </w:pPr>
            <w:r w:rsidRPr="001E1ECE">
              <w:rPr>
                <w:rFonts w:eastAsia="Times New Roman"/>
                <w:color w:val="000000"/>
                <w:lang w:eastAsia="en-GB"/>
              </w:rPr>
              <w:t>Regulations and Standards</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0.65</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c>
          <w:tcPr>
            <w:tcW w:w="1155"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r>
      <w:tr w:rsidR="00A00479" w:rsidRPr="001E1ECE" w:rsidTr="002D0DAB">
        <w:trPr>
          <w:trHeight w:val="312"/>
          <w:jc w:val="center"/>
        </w:trPr>
        <w:tc>
          <w:tcPr>
            <w:tcW w:w="6034" w:type="dxa"/>
            <w:noWrap/>
            <w:vAlign w:val="bottom"/>
          </w:tcPr>
          <w:p w:rsidR="00A00479" w:rsidRPr="001E1ECE" w:rsidRDefault="00A00479" w:rsidP="00C75683">
            <w:pPr>
              <w:rPr>
                <w:rFonts w:eastAsia="Times New Roman"/>
                <w:color w:val="000000"/>
                <w:lang w:eastAsia="en-GB"/>
              </w:rPr>
            </w:pPr>
            <w:r w:rsidRPr="001E1ECE">
              <w:rPr>
                <w:rFonts w:eastAsia="Times New Roman"/>
                <w:color w:val="000000"/>
                <w:lang w:eastAsia="en-GB"/>
              </w:rPr>
              <w:t>Testing and Certification</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0.57</w:t>
            </w:r>
          </w:p>
        </w:tc>
        <w:tc>
          <w:tcPr>
            <w:tcW w:w="1155"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r>
      <w:tr w:rsidR="00A00479" w:rsidRPr="001E1ECE" w:rsidTr="002D0DAB">
        <w:trPr>
          <w:trHeight w:val="312"/>
          <w:jc w:val="center"/>
        </w:trPr>
        <w:tc>
          <w:tcPr>
            <w:tcW w:w="6034" w:type="dxa"/>
            <w:noWrap/>
            <w:vAlign w:val="bottom"/>
          </w:tcPr>
          <w:p w:rsidR="00A00479" w:rsidRPr="001E1ECE" w:rsidRDefault="00A00479" w:rsidP="00C75683">
            <w:pPr>
              <w:rPr>
                <w:rFonts w:eastAsia="Times New Roman"/>
                <w:color w:val="000000"/>
                <w:lang w:eastAsia="en-GB"/>
              </w:rPr>
            </w:pPr>
            <w:r w:rsidRPr="001E1ECE">
              <w:rPr>
                <w:rFonts w:eastAsia="Times New Roman"/>
                <w:color w:val="000000"/>
                <w:lang w:eastAsia="en-GB"/>
              </w:rPr>
              <w:t>Labelling and Packaging</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0.44</w:t>
            </w:r>
          </w:p>
        </w:tc>
        <w:tc>
          <w:tcPr>
            <w:tcW w:w="1155"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r>
      <w:tr w:rsidR="00A00479" w:rsidRPr="001E1ECE" w:rsidTr="002D0DAB">
        <w:trPr>
          <w:trHeight w:val="312"/>
          <w:jc w:val="center"/>
        </w:trPr>
        <w:tc>
          <w:tcPr>
            <w:tcW w:w="6034" w:type="dxa"/>
            <w:noWrap/>
            <w:vAlign w:val="bottom"/>
          </w:tcPr>
          <w:p w:rsidR="00A00479" w:rsidRPr="001E1ECE" w:rsidRDefault="00A00479" w:rsidP="00C75683">
            <w:pPr>
              <w:rPr>
                <w:rFonts w:eastAsia="Times New Roman"/>
                <w:color w:val="000000"/>
                <w:lang w:eastAsia="en-GB"/>
              </w:rPr>
            </w:pPr>
            <w:r w:rsidRPr="001E1ECE">
              <w:rPr>
                <w:rFonts w:eastAsia="Times New Roman"/>
                <w:color w:val="000000"/>
                <w:lang w:eastAsia="en-GB"/>
              </w:rPr>
              <w:t>Environmental Measures</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0.43</w:t>
            </w:r>
          </w:p>
        </w:tc>
        <w:tc>
          <w:tcPr>
            <w:tcW w:w="1155"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r>
      <w:tr w:rsidR="00A00479" w:rsidRPr="001E1ECE" w:rsidTr="002D0DAB">
        <w:trPr>
          <w:trHeight w:val="312"/>
          <w:jc w:val="center"/>
        </w:trPr>
        <w:tc>
          <w:tcPr>
            <w:tcW w:w="6034" w:type="dxa"/>
            <w:noWrap/>
            <w:vAlign w:val="bottom"/>
          </w:tcPr>
          <w:p w:rsidR="00A00479" w:rsidRPr="001E1ECE" w:rsidRDefault="00A00479" w:rsidP="00C75683">
            <w:pPr>
              <w:rPr>
                <w:rFonts w:eastAsia="Times New Roman"/>
                <w:color w:val="000000"/>
                <w:lang w:eastAsia="en-GB"/>
              </w:rPr>
            </w:pPr>
            <w:r w:rsidRPr="001E1ECE">
              <w:rPr>
                <w:rFonts w:eastAsia="Times New Roman"/>
                <w:color w:val="000000"/>
                <w:lang w:eastAsia="en-GB"/>
              </w:rPr>
              <w:t>Legal Differences</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0.56</w:t>
            </w:r>
          </w:p>
        </w:tc>
        <w:tc>
          <w:tcPr>
            <w:tcW w:w="1155"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r>
      <w:tr w:rsidR="00A00479" w:rsidRPr="001E1ECE" w:rsidTr="002D0DAB">
        <w:trPr>
          <w:trHeight w:val="312"/>
          <w:jc w:val="center"/>
        </w:trPr>
        <w:tc>
          <w:tcPr>
            <w:tcW w:w="6034" w:type="dxa"/>
            <w:noWrap/>
            <w:vAlign w:val="bottom"/>
          </w:tcPr>
          <w:p w:rsidR="00A00479" w:rsidRPr="001E1ECE" w:rsidRDefault="00A00479" w:rsidP="00C75683">
            <w:pPr>
              <w:rPr>
                <w:rFonts w:eastAsia="Times New Roman"/>
                <w:color w:val="000000"/>
                <w:lang w:eastAsia="en-GB"/>
              </w:rPr>
            </w:pPr>
            <w:r w:rsidRPr="001E1ECE">
              <w:rPr>
                <w:rFonts w:eastAsia="Times New Roman"/>
                <w:color w:val="000000"/>
                <w:lang w:eastAsia="en-GB"/>
              </w:rPr>
              <w:t>Information Asymmetry</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0.56</w:t>
            </w:r>
          </w:p>
        </w:tc>
        <w:tc>
          <w:tcPr>
            <w:tcW w:w="1155"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r>
      <w:tr w:rsidR="00A00479" w:rsidRPr="001E1ECE" w:rsidTr="002D0DAB">
        <w:trPr>
          <w:trHeight w:val="312"/>
          <w:jc w:val="center"/>
        </w:trPr>
        <w:tc>
          <w:tcPr>
            <w:tcW w:w="6034" w:type="dxa"/>
            <w:noWrap/>
            <w:vAlign w:val="bottom"/>
          </w:tcPr>
          <w:p w:rsidR="00A00479" w:rsidRPr="001E1ECE" w:rsidRDefault="00A00479" w:rsidP="00C75683">
            <w:pPr>
              <w:rPr>
                <w:rFonts w:eastAsia="Times New Roman"/>
                <w:color w:val="000000"/>
                <w:lang w:eastAsia="en-GB"/>
              </w:rPr>
            </w:pPr>
            <w:r w:rsidRPr="001E1ECE">
              <w:rPr>
                <w:rFonts w:eastAsia="Times New Roman"/>
                <w:color w:val="000000"/>
                <w:lang w:eastAsia="en-GB"/>
              </w:rPr>
              <w:t>Transport costs</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xml:space="preserve"> </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c>
          <w:tcPr>
            <w:tcW w:w="1155"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0.74</w:t>
            </w:r>
          </w:p>
        </w:tc>
      </w:tr>
      <w:tr w:rsidR="00A00479" w:rsidRPr="001E1ECE" w:rsidTr="002D0DAB">
        <w:trPr>
          <w:trHeight w:val="312"/>
          <w:jc w:val="center"/>
        </w:trPr>
        <w:tc>
          <w:tcPr>
            <w:tcW w:w="6034" w:type="dxa"/>
            <w:noWrap/>
            <w:vAlign w:val="bottom"/>
          </w:tcPr>
          <w:p w:rsidR="00A00479" w:rsidRPr="001E1ECE" w:rsidRDefault="00A00479" w:rsidP="00C75683">
            <w:pPr>
              <w:rPr>
                <w:rFonts w:eastAsia="Times New Roman"/>
                <w:color w:val="000000"/>
                <w:lang w:eastAsia="en-GB"/>
              </w:rPr>
            </w:pPr>
            <w:r w:rsidRPr="001E1ECE">
              <w:rPr>
                <w:rFonts w:eastAsia="Times New Roman"/>
                <w:color w:val="000000"/>
                <w:lang w:eastAsia="en-GB"/>
              </w:rPr>
              <w:t>Corruption and Theft</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xml:space="preserve"> </w:t>
            </w:r>
          </w:p>
        </w:tc>
        <w:tc>
          <w:tcPr>
            <w:tcW w:w="1154"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c>
          <w:tcPr>
            <w:tcW w:w="1155" w:type="dxa"/>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0.89</w:t>
            </w:r>
          </w:p>
        </w:tc>
      </w:tr>
      <w:tr w:rsidR="00A00479" w:rsidRPr="001E1ECE" w:rsidTr="002D0DAB">
        <w:trPr>
          <w:trHeight w:val="312"/>
          <w:jc w:val="center"/>
        </w:trPr>
        <w:tc>
          <w:tcPr>
            <w:tcW w:w="6034" w:type="dxa"/>
            <w:tcBorders>
              <w:bottom w:val="single" w:sz="4" w:space="0" w:color="auto"/>
            </w:tcBorders>
            <w:noWrap/>
            <w:vAlign w:val="bottom"/>
          </w:tcPr>
          <w:p w:rsidR="00A00479" w:rsidRPr="001E1ECE" w:rsidRDefault="00A00479" w:rsidP="00C75683">
            <w:pPr>
              <w:rPr>
                <w:rFonts w:eastAsia="Times New Roman"/>
                <w:color w:val="000000"/>
                <w:lang w:eastAsia="en-GB"/>
              </w:rPr>
            </w:pPr>
            <w:r w:rsidRPr="001E1ECE">
              <w:rPr>
                <w:rFonts w:eastAsia="Times New Roman"/>
                <w:color w:val="000000"/>
                <w:lang w:eastAsia="en-GB"/>
              </w:rPr>
              <w:t>Inadequate Infrastructure</w:t>
            </w:r>
          </w:p>
        </w:tc>
        <w:tc>
          <w:tcPr>
            <w:tcW w:w="1154" w:type="dxa"/>
            <w:tcBorders>
              <w:bottom w:val="single" w:sz="4" w:space="0" w:color="auto"/>
            </w:tcBorders>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xml:space="preserve"> </w:t>
            </w:r>
          </w:p>
        </w:tc>
        <w:tc>
          <w:tcPr>
            <w:tcW w:w="1154" w:type="dxa"/>
            <w:tcBorders>
              <w:bottom w:val="single" w:sz="4" w:space="0" w:color="auto"/>
            </w:tcBorders>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c>
          <w:tcPr>
            <w:tcW w:w="1155" w:type="dxa"/>
            <w:tcBorders>
              <w:bottom w:val="single" w:sz="4" w:space="0" w:color="auto"/>
            </w:tcBorders>
            <w:noWrap/>
            <w:vAlign w:val="bottom"/>
          </w:tcPr>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0.87</w:t>
            </w:r>
          </w:p>
        </w:tc>
      </w:tr>
      <w:tr w:rsidR="00A00479" w:rsidRPr="001E1ECE" w:rsidTr="002D0DAB">
        <w:trPr>
          <w:trHeight w:val="312"/>
          <w:jc w:val="center"/>
        </w:trPr>
        <w:tc>
          <w:tcPr>
            <w:tcW w:w="9497" w:type="dxa"/>
            <w:gridSpan w:val="4"/>
            <w:tcBorders>
              <w:top w:val="single" w:sz="4" w:space="0" w:color="auto"/>
            </w:tcBorders>
            <w:noWrap/>
            <w:vAlign w:val="bottom"/>
          </w:tcPr>
          <w:p w:rsidR="00A00479" w:rsidRPr="00C75683" w:rsidRDefault="00A00479" w:rsidP="00C75683">
            <w:pPr>
              <w:jc w:val="both"/>
              <w:rPr>
                <w:rFonts w:eastAsia="Times New Roman"/>
                <w:i/>
                <w:color w:val="000000"/>
                <w:lang w:eastAsia="en-GB"/>
              </w:rPr>
            </w:pPr>
            <w:r w:rsidRPr="00C75683">
              <w:rPr>
                <w:rFonts w:eastAsia="Times New Roman"/>
                <w:b/>
                <w:i/>
                <w:color w:val="000000"/>
                <w:sz w:val="22"/>
                <w:szCs w:val="22"/>
                <w:lang w:eastAsia="en-GB"/>
              </w:rPr>
              <w:t>Note</w:t>
            </w:r>
            <w:r w:rsidRPr="00C75683">
              <w:rPr>
                <w:rFonts w:eastAsia="Times New Roman"/>
                <w:i/>
                <w:color w:val="000000"/>
                <w:sz w:val="22"/>
                <w:szCs w:val="22"/>
                <w:lang w:eastAsia="en-GB"/>
              </w:rPr>
              <w:t xml:space="preserve">: </w:t>
            </w:r>
            <w:r w:rsidRPr="00C75683">
              <w:rPr>
                <w:rFonts w:eastAsia="Times New Roman"/>
                <w:i/>
                <w:color w:val="000000"/>
                <w:sz w:val="22"/>
                <w:szCs w:val="22"/>
                <w:vertAlign w:val="superscript"/>
                <w:lang w:eastAsia="en-GB"/>
              </w:rPr>
              <w:t xml:space="preserve">a </w:t>
            </w:r>
            <w:r w:rsidRPr="00C75683">
              <w:rPr>
                <w:rFonts w:eastAsia="Times New Roman"/>
                <w:i/>
                <w:color w:val="000000"/>
                <w:sz w:val="22"/>
                <w:szCs w:val="22"/>
                <w:lang w:eastAsia="en-GB"/>
              </w:rPr>
              <w:t>Principal Component Analysis. Rotation Method: Varimax with Kaiser Normalization. Rotation converged after 3 iterations.</w:t>
            </w:r>
          </w:p>
          <w:p w:rsidR="00A00479" w:rsidRPr="001E1ECE" w:rsidRDefault="00A00479" w:rsidP="00C75683">
            <w:pPr>
              <w:jc w:val="center"/>
              <w:rPr>
                <w:rFonts w:eastAsia="Times New Roman"/>
                <w:color w:val="000000"/>
                <w:lang w:eastAsia="en-GB"/>
              </w:rPr>
            </w:pPr>
            <w:r w:rsidRPr="001E1ECE">
              <w:rPr>
                <w:rFonts w:eastAsia="Times New Roman"/>
                <w:color w:val="000000"/>
                <w:lang w:eastAsia="en-GB"/>
              </w:rPr>
              <w:t> </w:t>
            </w:r>
          </w:p>
        </w:tc>
      </w:tr>
    </w:tbl>
    <w:p w:rsidR="00A00479" w:rsidRPr="00D92694" w:rsidRDefault="00A00479" w:rsidP="00D92694">
      <w:pPr>
        <w:spacing w:line="360" w:lineRule="auto"/>
        <w:jc w:val="both"/>
      </w:pPr>
    </w:p>
    <w:p w:rsidR="00A00479" w:rsidRPr="00D92694" w:rsidRDefault="00A00479" w:rsidP="00D92694">
      <w:pPr>
        <w:spacing w:line="360" w:lineRule="auto"/>
        <w:jc w:val="both"/>
      </w:pPr>
      <w:r>
        <w:t>The results (</w:t>
      </w:r>
      <w:r w:rsidRPr="00D92694">
        <w:t>Table 1</w:t>
      </w:r>
      <w:r>
        <w:t>) suggest</w:t>
      </w:r>
      <w:r w:rsidRPr="00D92694">
        <w:t xml:space="preserve"> that Indian exporters</w:t>
      </w:r>
      <w:r>
        <w:t xml:space="preserve"> </w:t>
      </w:r>
      <w:r w:rsidR="00D068C1">
        <w:t>can be grouped into</w:t>
      </w:r>
      <w:r w:rsidR="00BC265D">
        <w:t xml:space="preserve"> </w:t>
      </w:r>
      <w:r w:rsidR="00D068C1">
        <w:t xml:space="preserve">two main categories </w:t>
      </w:r>
      <w:r w:rsidR="00D540CD">
        <w:t xml:space="preserve">on the </w:t>
      </w:r>
      <w:r w:rsidR="00D068C1">
        <w:t>bas</w:t>
      </w:r>
      <w:r w:rsidR="00D540CD">
        <w:t>is</w:t>
      </w:r>
      <w:r w:rsidR="00D068C1">
        <w:t xml:space="preserve"> o</w:t>
      </w:r>
      <w:r w:rsidR="00D540CD">
        <w:t>f</w:t>
      </w:r>
      <w:r w:rsidR="00D068C1">
        <w:t xml:space="preserve"> p</w:t>
      </w:r>
      <w:r>
        <w:t>roblems</w:t>
      </w:r>
      <w:r w:rsidR="00D068C1">
        <w:t xml:space="preserve"> faced</w:t>
      </w:r>
      <w:r w:rsidR="00D540CD">
        <w:t xml:space="preserve"> in the target market</w:t>
      </w:r>
      <w:r>
        <w:t xml:space="preserve">. These are: </w:t>
      </w:r>
      <w:r w:rsidRPr="00D92694">
        <w:t>exter</w:t>
      </w:r>
      <w:r>
        <w:t>nal-foreign problems</w:t>
      </w:r>
      <w:r w:rsidRPr="00D92694">
        <w:t xml:space="preserve"> </w:t>
      </w:r>
      <w:r w:rsidR="00D068C1">
        <w:t>that</w:t>
      </w:r>
      <w:r w:rsidRPr="00D92694">
        <w:t xml:space="preserve"> </w:t>
      </w:r>
      <w:r>
        <w:t>l</w:t>
      </w:r>
      <w:r w:rsidRPr="00D92694">
        <w:t>arge</w:t>
      </w:r>
      <w:r>
        <w:t>ly</w:t>
      </w:r>
      <w:r w:rsidRPr="00D92694">
        <w:t xml:space="preserve"> originat</w:t>
      </w:r>
      <w:r w:rsidR="00D068C1">
        <w:t>e</w:t>
      </w:r>
      <w:r w:rsidRPr="00D92694">
        <w:t xml:space="preserve"> in</w:t>
      </w:r>
      <w:r w:rsidR="00D068C1">
        <w:t xml:space="preserve"> the</w:t>
      </w:r>
      <w:r w:rsidRPr="00D92694">
        <w:t xml:space="preserve"> </w:t>
      </w:r>
      <w:r>
        <w:t>foreign-</w:t>
      </w:r>
      <w:r w:rsidRPr="00D92694">
        <w:t>external e</w:t>
      </w:r>
      <w:r>
        <w:t>nvironment of firm</w:t>
      </w:r>
      <w:r w:rsidR="00D068C1">
        <w:t>s; and</w:t>
      </w:r>
      <w:r w:rsidR="00020B1C">
        <w:t>,</w:t>
      </w:r>
      <w:r>
        <w:t xml:space="preserve"> intern</w:t>
      </w:r>
      <w:r w:rsidRPr="00D92694">
        <w:t xml:space="preserve">al-foreign problems </w:t>
      </w:r>
      <w:r>
        <w:t>arising</w:t>
      </w:r>
      <w:r w:rsidRPr="00D92694">
        <w:t xml:space="preserve"> from </w:t>
      </w:r>
      <w:r>
        <w:t xml:space="preserve">exporters’ management </w:t>
      </w:r>
      <w:r w:rsidRPr="00D92694">
        <w:t>organisation</w:t>
      </w:r>
      <w:r>
        <w:t>al structure</w:t>
      </w:r>
      <w:r w:rsidRPr="00D92694">
        <w:t xml:space="preserve">. </w:t>
      </w:r>
    </w:p>
    <w:p w:rsidR="00A00479" w:rsidRPr="00D92694" w:rsidRDefault="00A00479" w:rsidP="00D92694">
      <w:pPr>
        <w:spacing w:line="360" w:lineRule="auto"/>
        <w:jc w:val="both"/>
      </w:pPr>
    </w:p>
    <w:p w:rsidR="00A00479" w:rsidRPr="00D92694" w:rsidRDefault="00A00479" w:rsidP="00D92694">
      <w:pPr>
        <w:spacing w:line="360" w:lineRule="auto"/>
        <w:jc w:val="both"/>
      </w:pPr>
      <w:r w:rsidRPr="00D92694">
        <w:t>In the second stage, cluster analysis ex</w:t>
      </w:r>
      <w:r>
        <w:t>amines</w:t>
      </w:r>
      <w:r w:rsidRPr="00D92694">
        <w:t xml:space="preserve"> the extent to which </w:t>
      </w:r>
      <w:r>
        <w:t>exporting firms</w:t>
      </w:r>
      <w:r w:rsidRPr="00D92694">
        <w:t xml:space="preserve"> cluster around different factors</w:t>
      </w:r>
      <w:r>
        <w:t xml:space="preserve">, i.e. </w:t>
      </w:r>
      <w:r w:rsidRPr="00D92694">
        <w:t>exter</w:t>
      </w:r>
      <w:r>
        <w:t>nal-foreign and intern</w:t>
      </w:r>
      <w:r w:rsidRPr="00D92694">
        <w:t xml:space="preserve">al-foreign. </w:t>
      </w:r>
      <w:r>
        <w:t xml:space="preserve">Using </w:t>
      </w:r>
      <w:r w:rsidRPr="00D92694">
        <w:t>factor variables identified</w:t>
      </w:r>
      <w:r>
        <w:t xml:space="preserve"> as relevant</w:t>
      </w:r>
      <w:r w:rsidRPr="00D92694">
        <w:t xml:space="preserve"> </w:t>
      </w:r>
      <w:r w:rsidR="00020B1C">
        <w:t>(</w:t>
      </w:r>
      <w:r w:rsidRPr="00D92694">
        <w:t>in</w:t>
      </w:r>
      <w:r w:rsidR="00020B1C">
        <w:t xml:space="preserve"> the</w:t>
      </w:r>
      <w:r w:rsidRPr="00D92694">
        <w:t xml:space="preserve"> first stage</w:t>
      </w:r>
      <w:r w:rsidR="00020B1C">
        <w:t>)</w:t>
      </w:r>
      <w:r>
        <w:t>, cluster analysis</w:t>
      </w:r>
      <w:r w:rsidRPr="00D92694">
        <w:t xml:space="preserve"> </w:t>
      </w:r>
      <w:r>
        <w:t>investigates</w:t>
      </w:r>
      <w:r w:rsidRPr="00D92694">
        <w:t xml:space="preserve"> how these groups </w:t>
      </w:r>
      <w:r>
        <w:t>provide an insight into</w:t>
      </w:r>
      <w:r w:rsidRPr="00D92694">
        <w:t xml:space="preserve"> firms’ perceptions to</w:t>
      </w:r>
      <w:r w:rsidR="00020B1C">
        <w:t xml:space="preserve"> export</w:t>
      </w:r>
      <w:r w:rsidRPr="00D92694">
        <w:t xml:space="preserve"> problems</w:t>
      </w:r>
      <w:r>
        <w:t xml:space="preserve"> in the EU market</w:t>
      </w:r>
      <w:r w:rsidRPr="00D92694">
        <w:t xml:space="preserve">. </w:t>
      </w:r>
      <w:r>
        <w:t xml:space="preserve">In this case clusters </w:t>
      </w:r>
      <w:r w:rsidRPr="00D92694">
        <w:t xml:space="preserve">are allowed to vary </w:t>
      </w:r>
      <w:r>
        <w:t>which</w:t>
      </w:r>
      <w:r w:rsidRPr="00D92694">
        <w:t xml:space="preserve"> assist</w:t>
      </w:r>
      <w:r>
        <w:t>s</w:t>
      </w:r>
      <w:r w:rsidRPr="00D92694">
        <w:t xml:space="preserve"> in identifying firms based on their exogenous </w:t>
      </w:r>
      <w:r>
        <w:t>variables</w:t>
      </w:r>
      <w:r w:rsidRPr="00D92694">
        <w:t xml:space="preserve">. </w:t>
      </w:r>
    </w:p>
    <w:p w:rsidR="00A00479" w:rsidRPr="00D92694" w:rsidRDefault="00A00479" w:rsidP="00D92694">
      <w:pPr>
        <w:spacing w:line="360" w:lineRule="auto"/>
        <w:jc w:val="both"/>
      </w:pPr>
    </w:p>
    <w:p w:rsidR="00A00479" w:rsidRDefault="00A00479" w:rsidP="005C4F2F">
      <w:pPr>
        <w:pStyle w:val="Caption"/>
        <w:keepNext/>
        <w:spacing w:line="360" w:lineRule="auto"/>
        <w:ind w:firstLine="720"/>
      </w:pPr>
      <w:r>
        <w:lastRenderedPageBreak/>
        <w:t xml:space="preserve">Table </w:t>
      </w:r>
      <w:fldSimple w:instr=" SEQ Table \* ARABIC ">
        <w:r>
          <w:rPr>
            <w:noProof/>
          </w:rPr>
          <w:t>2</w:t>
        </w:r>
      </w:fldSimple>
      <w:r>
        <w:t>:</w:t>
      </w:r>
      <w:r w:rsidRPr="005C4F2F">
        <w:t xml:space="preserve"> </w:t>
      </w:r>
      <w:r>
        <w:t>Cluster Analysis</w:t>
      </w:r>
    </w:p>
    <w:tbl>
      <w:tblPr>
        <w:tblW w:w="7963" w:type="dxa"/>
        <w:tblInd w:w="720" w:type="dxa"/>
        <w:tblLook w:val="0000"/>
      </w:tblPr>
      <w:tblGrid>
        <w:gridCol w:w="3892"/>
        <w:gridCol w:w="2035"/>
        <w:gridCol w:w="2036"/>
      </w:tblGrid>
      <w:tr w:rsidR="00A00479" w:rsidRPr="001E1ECE" w:rsidTr="005C4F2F">
        <w:trPr>
          <w:trHeight w:val="243"/>
        </w:trPr>
        <w:tc>
          <w:tcPr>
            <w:tcW w:w="3892" w:type="dxa"/>
            <w:tcBorders>
              <w:top w:val="single" w:sz="4" w:space="0" w:color="auto"/>
              <w:bottom w:val="single" w:sz="4" w:space="0" w:color="auto"/>
            </w:tcBorders>
            <w:noWrap/>
            <w:vAlign w:val="bottom"/>
          </w:tcPr>
          <w:p w:rsidR="00A00479" w:rsidRPr="005C4F2F" w:rsidRDefault="00A00479" w:rsidP="00FD30AF">
            <w:pPr>
              <w:jc w:val="both"/>
              <w:rPr>
                <w:b/>
              </w:rPr>
            </w:pPr>
            <w:r w:rsidRPr="005C4F2F">
              <w:rPr>
                <w:b/>
              </w:rPr>
              <w:t> </w:t>
            </w:r>
          </w:p>
        </w:tc>
        <w:tc>
          <w:tcPr>
            <w:tcW w:w="4071" w:type="dxa"/>
            <w:gridSpan w:val="2"/>
            <w:tcBorders>
              <w:top w:val="single" w:sz="4" w:space="0" w:color="auto"/>
              <w:bottom w:val="single" w:sz="4" w:space="0" w:color="auto"/>
            </w:tcBorders>
            <w:noWrap/>
          </w:tcPr>
          <w:p w:rsidR="00A00479" w:rsidRPr="005C4F2F" w:rsidRDefault="00A00479" w:rsidP="00FD30AF">
            <w:pPr>
              <w:jc w:val="center"/>
              <w:rPr>
                <w:b/>
              </w:rPr>
            </w:pPr>
            <w:r w:rsidRPr="005C4F2F">
              <w:rPr>
                <w:b/>
              </w:rPr>
              <w:t>Final Cluster Centres</w:t>
            </w:r>
            <w:r>
              <w:rPr>
                <w:b/>
              </w:rPr>
              <w:t xml:space="preserve"> </w:t>
            </w:r>
            <w:r w:rsidRPr="005C4F2F">
              <w:rPr>
                <w:rFonts w:eastAsia="Times New Roman"/>
                <w:b/>
                <w:color w:val="000000"/>
                <w:vertAlign w:val="superscript"/>
                <w:lang w:eastAsia="en-GB"/>
              </w:rPr>
              <w:t>a</w:t>
            </w:r>
          </w:p>
        </w:tc>
      </w:tr>
      <w:tr w:rsidR="00A00479" w:rsidRPr="001E1ECE" w:rsidTr="005C4F2F">
        <w:trPr>
          <w:trHeight w:val="243"/>
        </w:trPr>
        <w:tc>
          <w:tcPr>
            <w:tcW w:w="3892" w:type="dxa"/>
            <w:tcBorders>
              <w:top w:val="single" w:sz="4" w:space="0" w:color="auto"/>
              <w:bottom w:val="single" w:sz="4" w:space="0" w:color="auto"/>
            </w:tcBorders>
            <w:noWrap/>
            <w:vAlign w:val="bottom"/>
          </w:tcPr>
          <w:p w:rsidR="00A00479" w:rsidRPr="005C4F2F" w:rsidRDefault="00A00479" w:rsidP="00FD30AF">
            <w:pPr>
              <w:jc w:val="both"/>
              <w:rPr>
                <w:b/>
              </w:rPr>
            </w:pPr>
            <w:r w:rsidRPr="005C4F2F">
              <w:rPr>
                <w:b/>
              </w:rPr>
              <w:t>Factors</w:t>
            </w:r>
          </w:p>
        </w:tc>
        <w:tc>
          <w:tcPr>
            <w:tcW w:w="2035" w:type="dxa"/>
            <w:tcBorders>
              <w:top w:val="single" w:sz="4" w:space="0" w:color="auto"/>
              <w:bottom w:val="single" w:sz="4" w:space="0" w:color="auto"/>
            </w:tcBorders>
            <w:noWrap/>
          </w:tcPr>
          <w:p w:rsidR="00A00479" w:rsidRPr="005C4F2F" w:rsidRDefault="00A00479" w:rsidP="00FD30AF">
            <w:pPr>
              <w:jc w:val="center"/>
              <w:rPr>
                <w:b/>
              </w:rPr>
            </w:pPr>
            <w:r w:rsidRPr="005C4F2F">
              <w:rPr>
                <w:b/>
              </w:rPr>
              <w:t>Cluster 1</w:t>
            </w:r>
          </w:p>
        </w:tc>
        <w:tc>
          <w:tcPr>
            <w:tcW w:w="2036" w:type="dxa"/>
            <w:tcBorders>
              <w:top w:val="single" w:sz="4" w:space="0" w:color="auto"/>
              <w:bottom w:val="single" w:sz="4" w:space="0" w:color="auto"/>
            </w:tcBorders>
            <w:noWrap/>
          </w:tcPr>
          <w:p w:rsidR="00A00479" w:rsidRPr="005C4F2F" w:rsidRDefault="00A00479" w:rsidP="00FD30AF">
            <w:pPr>
              <w:jc w:val="center"/>
              <w:rPr>
                <w:b/>
              </w:rPr>
            </w:pPr>
            <w:r w:rsidRPr="005C4F2F">
              <w:rPr>
                <w:b/>
              </w:rPr>
              <w:t>Cluster 2</w:t>
            </w:r>
          </w:p>
        </w:tc>
      </w:tr>
      <w:tr w:rsidR="00A00479" w:rsidRPr="001E1ECE" w:rsidTr="00542B59">
        <w:trPr>
          <w:trHeight w:val="243"/>
        </w:trPr>
        <w:tc>
          <w:tcPr>
            <w:tcW w:w="3892" w:type="dxa"/>
            <w:tcBorders>
              <w:top w:val="single" w:sz="4" w:space="0" w:color="auto"/>
            </w:tcBorders>
            <w:noWrap/>
            <w:vAlign w:val="bottom"/>
          </w:tcPr>
          <w:p w:rsidR="00A00479" w:rsidRPr="001E1ECE" w:rsidRDefault="00A00479" w:rsidP="00FD30AF">
            <w:pPr>
              <w:jc w:val="both"/>
            </w:pPr>
            <w:r w:rsidRPr="001E1ECE">
              <w:t>Factor 1: External-foreign</w:t>
            </w:r>
          </w:p>
        </w:tc>
        <w:tc>
          <w:tcPr>
            <w:tcW w:w="2035" w:type="dxa"/>
            <w:tcBorders>
              <w:top w:val="single" w:sz="4" w:space="0" w:color="auto"/>
            </w:tcBorders>
            <w:noWrap/>
            <w:vAlign w:val="bottom"/>
          </w:tcPr>
          <w:p w:rsidR="00A00479" w:rsidRPr="001E1ECE" w:rsidRDefault="00A00479" w:rsidP="00FD30AF">
            <w:pPr>
              <w:jc w:val="center"/>
            </w:pPr>
            <w:r w:rsidRPr="001E1ECE">
              <w:t>0.35</w:t>
            </w:r>
          </w:p>
        </w:tc>
        <w:tc>
          <w:tcPr>
            <w:tcW w:w="2036" w:type="dxa"/>
            <w:tcBorders>
              <w:top w:val="single" w:sz="4" w:space="0" w:color="auto"/>
            </w:tcBorders>
            <w:noWrap/>
            <w:vAlign w:val="bottom"/>
          </w:tcPr>
          <w:p w:rsidR="00A00479" w:rsidRPr="001E1ECE" w:rsidRDefault="00A00479" w:rsidP="00FD30AF">
            <w:pPr>
              <w:jc w:val="center"/>
            </w:pPr>
            <w:r w:rsidRPr="001E1ECE">
              <w:t>-0.89</w:t>
            </w:r>
          </w:p>
        </w:tc>
      </w:tr>
      <w:tr w:rsidR="00A00479" w:rsidRPr="001E1ECE" w:rsidTr="00542B59">
        <w:trPr>
          <w:trHeight w:val="243"/>
        </w:trPr>
        <w:tc>
          <w:tcPr>
            <w:tcW w:w="3892" w:type="dxa"/>
            <w:noWrap/>
            <w:vAlign w:val="bottom"/>
          </w:tcPr>
          <w:p w:rsidR="00A00479" w:rsidRPr="001E1ECE" w:rsidRDefault="00A00479" w:rsidP="00FD30AF">
            <w:pPr>
              <w:jc w:val="both"/>
            </w:pPr>
            <w:r w:rsidRPr="001E1ECE">
              <w:t>Factor 2</w:t>
            </w:r>
            <w:r>
              <w:t>: I</w:t>
            </w:r>
            <w:r w:rsidRPr="001E1ECE">
              <w:t>nternal-foreign</w:t>
            </w:r>
          </w:p>
        </w:tc>
        <w:tc>
          <w:tcPr>
            <w:tcW w:w="2035" w:type="dxa"/>
            <w:noWrap/>
            <w:vAlign w:val="bottom"/>
          </w:tcPr>
          <w:p w:rsidR="00A00479" w:rsidRPr="001E1ECE" w:rsidRDefault="00A00479" w:rsidP="00FD30AF">
            <w:pPr>
              <w:jc w:val="center"/>
            </w:pPr>
            <w:r w:rsidRPr="001E1ECE">
              <w:t>-0.34</w:t>
            </w:r>
          </w:p>
        </w:tc>
        <w:tc>
          <w:tcPr>
            <w:tcW w:w="2036" w:type="dxa"/>
            <w:noWrap/>
            <w:vAlign w:val="bottom"/>
          </w:tcPr>
          <w:p w:rsidR="00A00479" w:rsidRPr="001E1ECE" w:rsidRDefault="00A00479" w:rsidP="00FD30AF">
            <w:pPr>
              <w:jc w:val="center"/>
            </w:pPr>
            <w:r w:rsidRPr="001E1ECE">
              <w:t>0.86</w:t>
            </w:r>
          </w:p>
        </w:tc>
      </w:tr>
      <w:tr w:rsidR="00A00479" w:rsidRPr="001E1ECE" w:rsidTr="00542B59">
        <w:trPr>
          <w:trHeight w:val="243"/>
        </w:trPr>
        <w:tc>
          <w:tcPr>
            <w:tcW w:w="3892" w:type="dxa"/>
            <w:tcBorders>
              <w:bottom w:val="single" w:sz="4" w:space="0" w:color="auto"/>
            </w:tcBorders>
            <w:noWrap/>
            <w:vAlign w:val="bottom"/>
          </w:tcPr>
          <w:p w:rsidR="00A00479" w:rsidRPr="001E1ECE" w:rsidRDefault="00A00479" w:rsidP="00FD30AF">
            <w:pPr>
              <w:jc w:val="both"/>
            </w:pPr>
            <w:r>
              <w:t>No. of cases in each cluster</w:t>
            </w:r>
          </w:p>
        </w:tc>
        <w:tc>
          <w:tcPr>
            <w:tcW w:w="2035" w:type="dxa"/>
            <w:tcBorders>
              <w:bottom w:val="single" w:sz="4" w:space="0" w:color="auto"/>
            </w:tcBorders>
            <w:noWrap/>
            <w:vAlign w:val="bottom"/>
          </w:tcPr>
          <w:p w:rsidR="00A00479" w:rsidRPr="001E1ECE" w:rsidRDefault="00A00479" w:rsidP="00FD30AF">
            <w:pPr>
              <w:jc w:val="center"/>
            </w:pPr>
            <w:r>
              <w:t>43</w:t>
            </w:r>
          </w:p>
        </w:tc>
        <w:tc>
          <w:tcPr>
            <w:tcW w:w="2036" w:type="dxa"/>
            <w:tcBorders>
              <w:bottom w:val="single" w:sz="4" w:space="0" w:color="auto"/>
            </w:tcBorders>
            <w:noWrap/>
            <w:vAlign w:val="bottom"/>
          </w:tcPr>
          <w:p w:rsidR="00A00479" w:rsidRPr="001E1ECE" w:rsidRDefault="00A00479" w:rsidP="00FD30AF">
            <w:pPr>
              <w:jc w:val="center"/>
            </w:pPr>
            <w:r>
              <w:t>17</w:t>
            </w:r>
          </w:p>
        </w:tc>
      </w:tr>
      <w:tr w:rsidR="00A00479" w:rsidRPr="00B46AA2" w:rsidTr="00542B59">
        <w:trPr>
          <w:trHeight w:val="243"/>
        </w:trPr>
        <w:tc>
          <w:tcPr>
            <w:tcW w:w="7963" w:type="dxa"/>
            <w:gridSpan w:val="3"/>
            <w:tcBorders>
              <w:top w:val="single" w:sz="4" w:space="0" w:color="auto"/>
              <w:bottom w:val="single" w:sz="4" w:space="0" w:color="auto"/>
            </w:tcBorders>
            <w:noWrap/>
            <w:vAlign w:val="bottom"/>
          </w:tcPr>
          <w:p w:rsidR="00A00479" w:rsidRPr="00B46AA2" w:rsidRDefault="00A00479" w:rsidP="00FD30AF">
            <w:pPr>
              <w:jc w:val="both"/>
              <w:rPr>
                <w:i/>
              </w:rPr>
            </w:pPr>
            <w:r w:rsidRPr="00B46AA2">
              <w:rPr>
                <w:b/>
                <w:i/>
                <w:sz w:val="22"/>
                <w:szCs w:val="22"/>
              </w:rPr>
              <w:t>Note</w:t>
            </w:r>
            <w:r w:rsidRPr="00B46AA2">
              <w:rPr>
                <w:i/>
                <w:sz w:val="22"/>
                <w:szCs w:val="22"/>
              </w:rPr>
              <w:t xml:space="preserve">: </w:t>
            </w:r>
            <w:r w:rsidRPr="00B46AA2">
              <w:rPr>
                <w:rFonts w:eastAsia="Times New Roman"/>
                <w:i/>
                <w:color w:val="000000"/>
                <w:sz w:val="22"/>
                <w:szCs w:val="22"/>
                <w:vertAlign w:val="superscript"/>
                <w:lang w:eastAsia="en-GB"/>
              </w:rPr>
              <w:t xml:space="preserve">a </w:t>
            </w:r>
            <w:r w:rsidRPr="00B46AA2">
              <w:rPr>
                <w:rFonts w:eastAsia="Times New Roman"/>
                <w:i/>
                <w:color w:val="000000"/>
                <w:sz w:val="22"/>
                <w:szCs w:val="22"/>
                <w:lang w:eastAsia="en-GB"/>
              </w:rPr>
              <w:t>F</w:t>
            </w:r>
            <w:r w:rsidRPr="00B46AA2">
              <w:rPr>
                <w:i/>
                <w:sz w:val="22"/>
                <w:szCs w:val="22"/>
              </w:rPr>
              <w:t>actors are standardised (equal cluster contribution) with the K-means cluster analysis of SPSS v.16</w:t>
            </w:r>
          </w:p>
        </w:tc>
      </w:tr>
    </w:tbl>
    <w:p w:rsidR="00A00479" w:rsidRPr="00B46AA2" w:rsidRDefault="00A00479" w:rsidP="00D92694">
      <w:pPr>
        <w:spacing w:line="360" w:lineRule="auto"/>
        <w:jc w:val="both"/>
        <w:rPr>
          <w:i/>
          <w:sz w:val="22"/>
          <w:szCs w:val="22"/>
        </w:rPr>
      </w:pPr>
    </w:p>
    <w:p w:rsidR="00A00479" w:rsidRPr="00D92694" w:rsidRDefault="00A00479" w:rsidP="00D92694">
      <w:pPr>
        <w:spacing w:line="360" w:lineRule="auto"/>
        <w:jc w:val="both"/>
      </w:pPr>
      <w:r w:rsidRPr="00D92694">
        <w:t xml:space="preserve">Consistent with earlier studies (Salavou and Halikias, 2009) these factors are standardised (equal cluster contribution) with the K-means cluster analysis. The analysis reveals that 43 firms fall in Cluster 1 and the remaining 17 in Cluster 2. </w:t>
      </w:r>
      <w:r>
        <w:t xml:space="preserve">The results are validated with </w:t>
      </w:r>
      <w:r w:rsidRPr="00D92694">
        <w:t>the one-way analysis of variance (ANOVA)</w:t>
      </w:r>
      <w:r>
        <w:t xml:space="preserve"> which</w:t>
      </w:r>
      <w:r w:rsidRPr="00D92694">
        <w:t xml:space="preserve"> tests the robustness of firms’ perception </w:t>
      </w:r>
      <w:r>
        <w:t xml:space="preserve">of these </w:t>
      </w:r>
      <w:r w:rsidRPr="00D92694">
        <w:t>clusters and validat</w:t>
      </w:r>
      <w:r>
        <w:t>es</w:t>
      </w:r>
      <w:r w:rsidRPr="00D92694">
        <w:t xml:space="preserve"> the homogeneity-within-and-difference-between criterion (p</w:t>
      </w:r>
      <w:r w:rsidRPr="00D92694">
        <w:sym w:font="Symbol" w:char="F0A3"/>
      </w:r>
      <w:r>
        <w:t xml:space="preserve"> 0.01). The results</w:t>
      </w:r>
      <w:r w:rsidRPr="00D92694">
        <w:t xml:space="preserve"> are significant at 1%</w:t>
      </w:r>
      <w:r>
        <w:t>; an exception is</w:t>
      </w:r>
      <w:r w:rsidRPr="00D92694">
        <w:t xml:space="preserve"> regulations and standards for which the results are significant </w:t>
      </w:r>
      <w:r>
        <w:t xml:space="preserve">only </w:t>
      </w:r>
      <w:r w:rsidRPr="00D92694">
        <w:t>at 5%.</w:t>
      </w:r>
    </w:p>
    <w:p w:rsidR="00A00479" w:rsidRPr="00D92694" w:rsidRDefault="00A00479" w:rsidP="00D92694">
      <w:pPr>
        <w:spacing w:line="360" w:lineRule="auto"/>
        <w:jc w:val="both"/>
      </w:pPr>
    </w:p>
    <w:p w:rsidR="00A00479" w:rsidRDefault="00A00479" w:rsidP="007561EF">
      <w:pPr>
        <w:pStyle w:val="Caption"/>
        <w:keepNext/>
      </w:pPr>
      <w:r>
        <w:t>Table 3: One-way Analysis of Variance</w:t>
      </w:r>
    </w:p>
    <w:tbl>
      <w:tblPr>
        <w:tblW w:w="9741" w:type="dxa"/>
        <w:jc w:val="center"/>
        <w:tblInd w:w="93" w:type="dxa"/>
        <w:tblLayout w:type="fixed"/>
        <w:tblLook w:val="00A0"/>
      </w:tblPr>
      <w:tblGrid>
        <w:gridCol w:w="4126"/>
        <w:gridCol w:w="1835"/>
        <w:gridCol w:w="1835"/>
        <w:gridCol w:w="985"/>
        <w:gridCol w:w="960"/>
      </w:tblGrid>
      <w:tr w:rsidR="00A00479" w:rsidRPr="00791593" w:rsidTr="00542B59">
        <w:trPr>
          <w:trHeight w:val="315"/>
          <w:jc w:val="center"/>
        </w:trPr>
        <w:tc>
          <w:tcPr>
            <w:tcW w:w="4126" w:type="dxa"/>
            <w:tcBorders>
              <w:top w:val="single" w:sz="4" w:space="0" w:color="auto"/>
            </w:tcBorders>
            <w:noWrap/>
            <w:vAlign w:val="bottom"/>
          </w:tcPr>
          <w:p w:rsidR="00A00479" w:rsidRPr="00791593" w:rsidRDefault="00A00479" w:rsidP="00542B59">
            <w:pPr>
              <w:rPr>
                <w:rFonts w:eastAsia="Times New Roman"/>
                <w:color w:val="000000"/>
                <w:lang w:eastAsia="en-GB"/>
              </w:rPr>
            </w:pPr>
          </w:p>
        </w:tc>
        <w:tc>
          <w:tcPr>
            <w:tcW w:w="3670" w:type="dxa"/>
            <w:gridSpan w:val="2"/>
            <w:tcBorders>
              <w:top w:val="single" w:sz="4" w:space="0" w:color="auto"/>
            </w:tcBorders>
            <w:noWrap/>
            <w:vAlign w:val="bottom"/>
          </w:tcPr>
          <w:p w:rsidR="00A00479" w:rsidRPr="00791593" w:rsidRDefault="00A00479" w:rsidP="00542B59">
            <w:pPr>
              <w:jc w:val="center"/>
              <w:rPr>
                <w:rFonts w:eastAsia="Times New Roman"/>
                <w:color w:val="000000"/>
                <w:lang w:eastAsia="en-GB"/>
              </w:rPr>
            </w:pPr>
            <w:r w:rsidRPr="00791593">
              <w:rPr>
                <w:rFonts w:eastAsia="Times New Roman"/>
                <w:color w:val="000000"/>
                <w:lang w:eastAsia="en-GB"/>
              </w:rPr>
              <w:t>Clusters</w:t>
            </w:r>
          </w:p>
        </w:tc>
        <w:tc>
          <w:tcPr>
            <w:tcW w:w="985" w:type="dxa"/>
            <w:tcBorders>
              <w:top w:val="single" w:sz="4" w:space="0" w:color="auto"/>
            </w:tcBorders>
            <w:noWrap/>
            <w:vAlign w:val="bottom"/>
          </w:tcPr>
          <w:p w:rsidR="00A00479" w:rsidRPr="00791593" w:rsidRDefault="00A00479" w:rsidP="00542B59">
            <w:pPr>
              <w:rPr>
                <w:rFonts w:eastAsia="Times New Roman"/>
                <w:color w:val="000000"/>
                <w:lang w:eastAsia="en-GB"/>
              </w:rPr>
            </w:pPr>
          </w:p>
        </w:tc>
        <w:tc>
          <w:tcPr>
            <w:tcW w:w="960" w:type="dxa"/>
            <w:tcBorders>
              <w:top w:val="single" w:sz="4" w:space="0" w:color="auto"/>
            </w:tcBorders>
            <w:noWrap/>
            <w:vAlign w:val="bottom"/>
          </w:tcPr>
          <w:p w:rsidR="00A00479" w:rsidRPr="00791593" w:rsidRDefault="00A00479" w:rsidP="00542B59">
            <w:pPr>
              <w:rPr>
                <w:rFonts w:eastAsia="Times New Roman"/>
                <w:color w:val="000000"/>
                <w:lang w:eastAsia="en-GB"/>
              </w:rPr>
            </w:pPr>
          </w:p>
        </w:tc>
      </w:tr>
      <w:tr w:rsidR="00A00479" w:rsidRPr="00C03F28" w:rsidTr="00542B59">
        <w:trPr>
          <w:trHeight w:val="315"/>
          <w:jc w:val="center"/>
        </w:trPr>
        <w:tc>
          <w:tcPr>
            <w:tcW w:w="4126" w:type="dxa"/>
            <w:tcBorders>
              <w:bottom w:val="single" w:sz="4" w:space="0" w:color="auto"/>
            </w:tcBorders>
            <w:noWrap/>
            <w:vAlign w:val="center"/>
          </w:tcPr>
          <w:p w:rsidR="00A00479" w:rsidRPr="00C03F28" w:rsidRDefault="00A00479" w:rsidP="00542B59">
            <w:pPr>
              <w:jc w:val="center"/>
              <w:rPr>
                <w:rFonts w:eastAsia="Times New Roman"/>
                <w:color w:val="000000"/>
                <w:lang w:eastAsia="en-GB"/>
              </w:rPr>
            </w:pPr>
          </w:p>
        </w:tc>
        <w:tc>
          <w:tcPr>
            <w:tcW w:w="1835" w:type="dxa"/>
            <w:tcBorders>
              <w:bottom w:val="single" w:sz="4" w:space="0" w:color="auto"/>
            </w:tcBorders>
            <w:noWrap/>
            <w:vAlign w:val="center"/>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External-foreign</w:t>
            </w:r>
          </w:p>
        </w:tc>
        <w:tc>
          <w:tcPr>
            <w:tcW w:w="1835" w:type="dxa"/>
            <w:tcBorders>
              <w:bottom w:val="single" w:sz="4" w:space="0" w:color="auto"/>
            </w:tcBorders>
            <w:noWrap/>
            <w:vAlign w:val="center"/>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Internal-foreign</w:t>
            </w:r>
          </w:p>
        </w:tc>
        <w:tc>
          <w:tcPr>
            <w:tcW w:w="985" w:type="dxa"/>
            <w:tcBorders>
              <w:bottom w:val="single" w:sz="4" w:space="0" w:color="auto"/>
            </w:tcBorders>
            <w:noWrap/>
            <w:vAlign w:val="center"/>
          </w:tcPr>
          <w:p w:rsidR="00A00479" w:rsidRPr="00791593" w:rsidRDefault="00A00479" w:rsidP="00542B59">
            <w:pPr>
              <w:spacing w:line="360" w:lineRule="auto"/>
              <w:jc w:val="center"/>
              <w:rPr>
                <w:i/>
              </w:rPr>
            </w:pPr>
            <w:r w:rsidRPr="00791593">
              <w:rPr>
                <w:i/>
              </w:rPr>
              <w:t>F</w:t>
            </w:r>
          </w:p>
        </w:tc>
        <w:tc>
          <w:tcPr>
            <w:tcW w:w="960" w:type="dxa"/>
            <w:tcBorders>
              <w:bottom w:val="single" w:sz="4" w:space="0" w:color="auto"/>
            </w:tcBorders>
            <w:noWrap/>
            <w:vAlign w:val="center"/>
          </w:tcPr>
          <w:p w:rsidR="00A00479" w:rsidRPr="00791593" w:rsidRDefault="00A00479" w:rsidP="00542B59">
            <w:pPr>
              <w:spacing w:line="360" w:lineRule="auto"/>
              <w:jc w:val="center"/>
              <w:rPr>
                <w:i/>
              </w:rPr>
            </w:pPr>
            <w:r w:rsidRPr="00791593">
              <w:rPr>
                <w:i/>
              </w:rPr>
              <w:t>p-value</w:t>
            </w:r>
          </w:p>
        </w:tc>
      </w:tr>
      <w:tr w:rsidR="00A00479" w:rsidRPr="00C03F28" w:rsidTr="00542B59">
        <w:trPr>
          <w:trHeight w:val="315"/>
          <w:jc w:val="center"/>
        </w:trPr>
        <w:tc>
          <w:tcPr>
            <w:tcW w:w="4126" w:type="dxa"/>
            <w:tcBorders>
              <w:top w:val="single" w:sz="4" w:space="0" w:color="auto"/>
            </w:tcBorders>
            <w:noWrap/>
            <w:vAlign w:val="bottom"/>
          </w:tcPr>
          <w:p w:rsidR="00A00479" w:rsidRPr="00C03F28" w:rsidRDefault="00A00479" w:rsidP="00542B59">
            <w:pPr>
              <w:rPr>
                <w:rFonts w:eastAsia="Times New Roman"/>
                <w:color w:val="000000"/>
                <w:lang w:eastAsia="en-GB"/>
              </w:rPr>
            </w:pPr>
            <w:r w:rsidRPr="00C03F28">
              <w:rPr>
                <w:rFonts w:eastAsia="Times New Roman"/>
                <w:color w:val="000000"/>
                <w:lang w:eastAsia="en-GB"/>
              </w:rPr>
              <w:t>Customs Valuation</w:t>
            </w:r>
          </w:p>
        </w:tc>
        <w:tc>
          <w:tcPr>
            <w:tcW w:w="1835" w:type="dxa"/>
            <w:tcBorders>
              <w:top w:val="single" w:sz="4" w:space="0" w:color="auto"/>
            </w:tcBorders>
            <w:noWrap/>
            <w:vAlign w:val="bottom"/>
          </w:tcPr>
          <w:p w:rsidR="00A00479" w:rsidRPr="00C03F28" w:rsidRDefault="00A00479" w:rsidP="00542B59">
            <w:pPr>
              <w:jc w:val="center"/>
              <w:rPr>
                <w:rFonts w:eastAsia="Times New Roman"/>
                <w:color w:val="000000"/>
                <w:u w:val="single"/>
                <w:lang w:eastAsia="en-GB"/>
              </w:rPr>
            </w:pPr>
            <w:r w:rsidRPr="00C03F28">
              <w:rPr>
                <w:rFonts w:eastAsia="Times New Roman"/>
                <w:color w:val="000000"/>
                <w:u w:val="single"/>
                <w:lang w:eastAsia="en-GB"/>
              </w:rPr>
              <w:t>2.87</w:t>
            </w:r>
          </w:p>
        </w:tc>
        <w:tc>
          <w:tcPr>
            <w:tcW w:w="1835" w:type="dxa"/>
            <w:tcBorders>
              <w:top w:val="single" w:sz="4" w:space="0" w:color="auto"/>
            </w:tcBorders>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2.27</w:t>
            </w:r>
          </w:p>
        </w:tc>
        <w:tc>
          <w:tcPr>
            <w:tcW w:w="985" w:type="dxa"/>
            <w:tcBorders>
              <w:top w:val="single" w:sz="4" w:space="0" w:color="auto"/>
            </w:tcBorders>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7.1</w:t>
            </w:r>
          </w:p>
        </w:tc>
        <w:tc>
          <w:tcPr>
            <w:tcW w:w="960" w:type="dxa"/>
            <w:tcBorders>
              <w:top w:val="single" w:sz="4" w:space="0" w:color="auto"/>
            </w:tcBorders>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0.01</w:t>
            </w:r>
          </w:p>
        </w:tc>
      </w:tr>
      <w:tr w:rsidR="00A00479" w:rsidRPr="00C03F28" w:rsidTr="00542B59">
        <w:trPr>
          <w:trHeight w:val="315"/>
          <w:jc w:val="center"/>
        </w:trPr>
        <w:tc>
          <w:tcPr>
            <w:tcW w:w="4126" w:type="dxa"/>
            <w:noWrap/>
            <w:vAlign w:val="bottom"/>
          </w:tcPr>
          <w:p w:rsidR="00A00479" w:rsidRPr="00C03F28" w:rsidRDefault="00A00479" w:rsidP="00542B59">
            <w:pPr>
              <w:rPr>
                <w:rFonts w:eastAsia="Times New Roman"/>
                <w:color w:val="000000"/>
                <w:lang w:eastAsia="en-GB"/>
              </w:rPr>
            </w:pPr>
            <w:r w:rsidRPr="00C03F28">
              <w:rPr>
                <w:rFonts w:eastAsia="Times New Roman"/>
                <w:color w:val="000000"/>
                <w:lang w:eastAsia="en-GB"/>
              </w:rPr>
              <w:t>Customs Clearance</w:t>
            </w:r>
          </w:p>
        </w:tc>
        <w:tc>
          <w:tcPr>
            <w:tcW w:w="1835" w:type="dxa"/>
            <w:noWrap/>
            <w:vAlign w:val="bottom"/>
          </w:tcPr>
          <w:p w:rsidR="00A00479" w:rsidRPr="00C03F28" w:rsidRDefault="00A00479" w:rsidP="00542B59">
            <w:pPr>
              <w:jc w:val="center"/>
              <w:rPr>
                <w:rFonts w:eastAsia="Times New Roman"/>
                <w:color w:val="000000"/>
                <w:u w:val="single"/>
                <w:lang w:eastAsia="en-GB"/>
              </w:rPr>
            </w:pPr>
            <w:r w:rsidRPr="00C03F28">
              <w:rPr>
                <w:rFonts w:eastAsia="Times New Roman"/>
                <w:color w:val="000000"/>
                <w:u w:val="single"/>
                <w:lang w:eastAsia="en-GB"/>
              </w:rPr>
              <w:t>3.27</w:t>
            </w:r>
          </w:p>
        </w:tc>
        <w:tc>
          <w:tcPr>
            <w:tcW w:w="1835"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2.22</w:t>
            </w:r>
          </w:p>
        </w:tc>
        <w:tc>
          <w:tcPr>
            <w:tcW w:w="985"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13.1</w:t>
            </w:r>
          </w:p>
        </w:tc>
        <w:tc>
          <w:tcPr>
            <w:tcW w:w="960"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&lt; 0.001</w:t>
            </w:r>
          </w:p>
        </w:tc>
      </w:tr>
      <w:tr w:rsidR="00A00479" w:rsidRPr="00C03F28" w:rsidTr="00542B59">
        <w:trPr>
          <w:trHeight w:val="315"/>
          <w:jc w:val="center"/>
        </w:trPr>
        <w:tc>
          <w:tcPr>
            <w:tcW w:w="4126" w:type="dxa"/>
            <w:noWrap/>
            <w:vAlign w:val="bottom"/>
          </w:tcPr>
          <w:p w:rsidR="00A00479" w:rsidRPr="00C03F28" w:rsidRDefault="00A00479" w:rsidP="00542B59">
            <w:pPr>
              <w:rPr>
                <w:rFonts w:eastAsia="Times New Roman"/>
                <w:color w:val="000000"/>
                <w:lang w:eastAsia="en-GB"/>
              </w:rPr>
            </w:pPr>
            <w:r w:rsidRPr="00C03F28">
              <w:rPr>
                <w:rFonts w:eastAsia="Times New Roman"/>
                <w:color w:val="000000"/>
                <w:lang w:eastAsia="en-GB"/>
              </w:rPr>
              <w:t>Admin and Documentation. formalities</w:t>
            </w:r>
          </w:p>
        </w:tc>
        <w:tc>
          <w:tcPr>
            <w:tcW w:w="1835" w:type="dxa"/>
            <w:noWrap/>
            <w:vAlign w:val="bottom"/>
          </w:tcPr>
          <w:p w:rsidR="00A00479" w:rsidRPr="00C03F28" w:rsidRDefault="00A00479" w:rsidP="00542B59">
            <w:pPr>
              <w:jc w:val="center"/>
              <w:rPr>
                <w:rFonts w:eastAsia="Times New Roman"/>
                <w:color w:val="000000"/>
                <w:u w:val="single"/>
                <w:lang w:eastAsia="en-GB"/>
              </w:rPr>
            </w:pPr>
            <w:r w:rsidRPr="00C03F28">
              <w:rPr>
                <w:rFonts w:eastAsia="Times New Roman"/>
                <w:color w:val="000000"/>
                <w:u w:val="single"/>
                <w:lang w:eastAsia="en-GB"/>
              </w:rPr>
              <w:t>3.05</w:t>
            </w:r>
          </w:p>
        </w:tc>
        <w:tc>
          <w:tcPr>
            <w:tcW w:w="1835"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1.89</w:t>
            </w:r>
          </w:p>
        </w:tc>
        <w:tc>
          <w:tcPr>
            <w:tcW w:w="985"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20.5</w:t>
            </w:r>
          </w:p>
        </w:tc>
        <w:tc>
          <w:tcPr>
            <w:tcW w:w="960"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&lt; 0.001</w:t>
            </w:r>
          </w:p>
        </w:tc>
      </w:tr>
      <w:tr w:rsidR="00A00479" w:rsidRPr="00C03F28" w:rsidTr="00542B59">
        <w:trPr>
          <w:trHeight w:val="315"/>
          <w:jc w:val="center"/>
        </w:trPr>
        <w:tc>
          <w:tcPr>
            <w:tcW w:w="4126" w:type="dxa"/>
            <w:noWrap/>
            <w:vAlign w:val="bottom"/>
          </w:tcPr>
          <w:p w:rsidR="00A00479" w:rsidRPr="00C03F28" w:rsidRDefault="00A00479" w:rsidP="00542B59">
            <w:pPr>
              <w:rPr>
                <w:rFonts w:eastAsia="Times New Roman"/>
                <w:color w:val="000000"/>
                <w:lang w:eastAsia="en-GB"/>
              </w:rPr>
            </w:pPr>
            <w:r w:rsidRPr="00C03F28">
              <w:rPr>
                <w:rFonts w:eastAsia="Times New Roman"/>
                <w:color w:val="000000"/>
                <w:lang w:eastAsia="en-GB"/>
              </w:rPr>
              <w:t>Regulations and Standards</w:t>
            </w:r>
          </w:p>
        </w:tc>
        <w:tc>
          <w:tcPr>
            <w:tcW w:w="1835" w:type="dxa"/>
            <w:noWrap/>
            <w:vAlign w:val="bottom"/>
          </w:tcPr>
          <w:p w:rsidR="00A00479" w:rsidRPr="00C03F28" w:rsidRDefault="00A00479" w:rsidP="00542B59">
            <w:pPr>
              <w:jc w:val="center"/>
              <w:rPr>
                <w:rFonts w:eastAsia="Times New Roman"/>
                <w:color w:val="000000"/>
                <w:u w:val="single"/>
                <w:lang w:eastAsia="en-GB"/>
              </w:rPr>
            </w:pPr>
            <w:r w:rsidRPr="00C03F28">
              <w:rPr>
                <w:rFonts w:eastAsia="Times New Roman"/>
                <w:color w:val="000000"/>
                <w:u w:val="single"/>
                <w:lang w:eastAsia="en-GB"/>
              </w:rPr>
              <w:t>2.41</w:t>
            </w:r>
          </w:p>
        </w:tc>
        <w:tc>
          <w:tcPr>
            <w:tcW w:w="1835"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2.05</w:t>
            </w:r>
          </w:p>
        </w:tc>
        <w:tc>
          <w:tcPr>
            <w:tcW w:w="985"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3.75</w:t>
            </w:r>
          </w:p>
        </w:tc>
        <w:tc>
          <w:tcPr>
            <w:tcW w:w="960"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0.05</w:t>
            </w:r>
          </w:p>
        </w:tc>
      </w:tr>
      <w:tr w:rsidR="00A00479" w:rsidRPr="00C03F28" w:rsidTr="00542B59">
        <w:trPr>
          <w:trHeight w:val="315"/>
          <w:jc w:val="center"/>
        </w:trPr>
        <w:tc>
          <w:tcPr>
            <w:tcW w:w="4126" w:type="dxa"/>
            <w:noWrap/>
            <w:vAlign w:val="bottom"/>
          </w:tcPr>
          <w:p w:rsidR="00A00479" w:rsidRPr="00C03F28" w:rsidRDefault="00A00479" w:rsidP="00542B59">
            <w:pPr>
              <w:rPr>
                <w:rFonts w:eastAsia="Times New Roman"/>
                <w:color w:val="000000"/>
                <w:lang w:eastAsia="en-GB"/>
              </w:rPr>
            </w:pPr>
            <w:r w:rsidRPr="00C03F28">
              <w:rPr>
                <w:rFonts w:eastAsia="Times New Roman"/>
                <w:color w:val="000000"/>
                <w:lang w:eastAsia="en-GB"/>
              </w:rPr>
              <w:t>Transport costs</w:t>
            </w:r>
          </w:p>
        </w:tc>
        <w:tc>
          <w:tcPr>
            <w:tcW w:w="1835"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2</w:t>
            </w:r>
            <w:r w:rsidRPr="00791593">
              <w:rPr>
                <w:rFonts w:eastAsia="Times New Roman"/>
                <w:color w:val="000000"/>
                <w:lang w:eastAsia="en-GB"/>
              </w:rPr>
              <w:t>.00</w:t>
            </w:r>
          </w:p>
        </w:tc>
        <w:tc>
          <w:tcPr>
            <w:tcW w:w="1835" w:type="dxa"/>
            <w:noWrap/>
            <w:vAlign w:val="bottom"/>
          </w:tcPr>
          <w:p w:rsidR="00A00479" w:rsidRPr="00C03F28" w:rsidRDefault="00A00479" w:rsidP="00542B59">
            <w:pPr>
              <w:jc w:val="center"/>
              <w:rPr>
                <w:rFonts w:eastAsia="Times New Roman"/>
                <w:color w:val="000000"/>
                <w:u w:val="single"/>
                <w:lang w:eastAsia="en-GB"/>
              </w:rPr>
            </w:pPr>
            <w:r w:rsidRPr="00C03F28">
              <w:rPr>
                <w:rFonts w:eastAsia="Times New Roman"/>
                <w:color w:val="000000"/>
                <w:u w:val="single"/>
                <w:lang w:eastAsia="en-GB"/>
              </w:rPr>
              <w:t>3.3</w:t>
            </w:r>
            <w:r w:rsidRPr="00791593">
              <w:rPr>
                <w:rFonts w:eastAsia="Times New Roman"/>
                <w:color w:val="000000"/>
                <w:u w:val="single"/>
                <w:lang w:eastAsia="en-GB"/>
              </w:rPr>
              <w:t>0</w:t>
            </w:r>
          </w:p>
        </w:tc>
        <w:tc>
          <w:tcPr>
            <w:tcW w:w="985"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10.65</w:t>
            </w:r>
          </w:p>
        </w:tc>
        <w:tc>
          <w:tcPr>
            <w:tcW w:w="960"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&lt; 0.001</w:t>
            </w:r>
          </w:p>
        </w:tc>
      </w:tr>
      <w:tr w:rsidR="00A00479" w:rsidRPr="00C03F28" w:rsidTr="00542B59">
        <w:trPr>
          <w:trHeight w:val="315"/>
          <w:jc w:val="center"/>
        </w:trPr>
        <w:tc>
          <w:tcPr>
            <w:tcW w:w="4126" w:type="dxa"/>
            <w:noWrap/>
            <w:vAlign w:val="bottom"/>
          </w:tcPr>
          <w:p w:rsidR="00A00479" w:rsidRPr="00C03F28" w:rsidRDefault="00A00479" w:rsidP="00542B59">
            <w:pPr>
              <w:rPr>
                <w:rFonts w:eastAsia="Times New Roman"/>
                <w:color w:val="000000"/>
                <w:lang w:eastAsia="en-GB"/>
              </w:rPr>
            </w:pPr>
            <w:r w:rsidRPr="00C03F28">
              <w:rPr>
                <w:rFonts w:eastAsia="Times New Roman"/>
                <w:color w:val="000000"/>
                <w:lang w:eastAsia="en-GB"/>
              </w:rPr>
              <w:t>Corruption and Theft</w:t>
            </w:r>
          </w:p>
        </w:tc>
        <w:tc>
          <w:tcPr>
            <w:tcW w:w="1835"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1.75</w:t>
            </w:r>
          </w:p>
        </w:tc>
        <w:tc>
          <w:tcPr>
            <w:tcW w:w="1835" w:type="dxa"/>
            <w:noWrap/>
            <w:vAlign w:val="bottom"/>
          </w:tcPr>
          <w:p w:rsidR="00A00479" w:rsidRPr="00C03F28" w:rsidRDefault="00A00479" w:rsidP="00542B59">
            <w:pPr>
              <w:jc w:val="center"/>
              <w:rPr>
                <w:rFonts w:eastAsia="Times New Roman"/>
                <w:color w:val="000000"/>
                <w:u w:val="single"/>
                <w:lang w:eastAsia="en-GB"/>
              </w:rPr>
            </w:pPr>
            <w:r w:rsidRPr="00C03F28">
              <w:rPr>
                <w:rFonts w:eastAsia="Times New Roman"/>
                <w:color w:val="000000"/>
                <w:u w:val="single"/>
                <w:lang w:eastAsia="en-GB"/>
              </w:rPr>
              <w:t>3.61</w:t>
            </w:r>
          </w:p>
        </w:tc>
        <w:tc>
          <w:tcPr>
            <w:tcW w:w="985"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24.19</w:t>
            </w:r>
          </w:p>
        </w:tc>
        <w:tc>
          <w:tcPr>
            <w:tcW w:w="960" w:type="dxa"/>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&lt; 0.001</w:t>
            </w:r>
          </w:p>
        </w:tc>
      </w:tr>
      <w:tr w:rsidR="00A00479" w:rsidRPr="00C03F28" w:rsidTr="00542B59">
        <w:trPr>
          <w:trHeight w:val="315"/>
          <w:jc w:val="center"/>
        </w:trPr>
        <w:tc>
          <w:tcPr>
            <w:tcW w:w="4126" w:type="dxa"/>
            <w:tcBorders>
              <w:bottom w:val="single" w:sz="4" w:space="0" w:color="auto"/>
            </w:tcBorders>
            <w:noWrap/>
            <w:vAlign w:val="bottom"/>
          </w:tcPr>
          <w:p w:rsidR="00A00479" w:rsidRPr="00C03F28" w:rsidRDefault="00A00479" w:rsidP="00542B59">
            <w:pPr>
              <w:rPr>
                <w:rFonts w:eastAsia="Times New Roman"/>
                <w:color w:val="000000"/>
                <w:lang w:eastAsia="en-GB"/>
              </w:rPr>
            </w:pPr>
            <w:r w:rsidRPr="00C03F28">
              <w:rPr>
                <w:rFonts w:eastAsia="Times New Roman"/>
                <w:color w:val="000000"/>
                <w:lang w:eastAsia="en-GB"/>
              </w:rPr>
              <w:t>Inadequate Infrastructure</w:t>
            </w:r>
          </w:p>
        </w:tc>
        <w:tc>
          <w:tcPr>
            <w:tcW w:w="1835" w:type="dxa"/>
            <w:tcBorders>
              <w:bottom w:val="single" w:sz="4" w:space="0" w:color="auto"/>
            </w:tcBorders>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2.37</w:t>
            </w:r>
          </w:p>
        </w:tc>
        <w:tc>
          <w:tcPr>
            <w:tcW w:w="1835" w:type="dxa"/>
            <w:tcBorders>
              <w:bottom w:val="single" w:sz="4" w:space="0" w:color="auto"/>
            </w:tcBorders>
            <w:noWrap/>
            <w:vAlign w:val="bottom"/>
          </w:tcPr>
          <w:p w:rsidR="00A00479" w:rsidRPr="00C03F28" w:rsidRDefault="00A00479" w:rsidP="00542B59">
            <w:pPr>
              <w:jc w:val="center"/>
              <w:rPr>
                <w:rFonts w:eastAsia="Times New Roman"/>
                <w:color w:val="000000"/>
                <w:u w:val="single"/>
                <w:lang w:eastAsia="en-GB"/>
              </w:rPr>
            </w:pPr>
            <w:r w:rsidRPr="00C03F28">
              <w:rPr>
                <w:rFonts w:eastAsia="Times New Roman"/>
                <w:color w:val="000000"/>
                <w:u w:val="single"/>
                <w:lang w:eastAsia="en-GB"/>
              </w:rPr>
              <w:t>3.82</w:t>
            </w:r>
          </w:p>
        </w:tc>
        <w:tc>
          <w:tcPr>
            <w:tcW w:w="985" w:type="dxa"/>
            <w:tcBorders>
              <w:bottom w:val="single" w:sz="4" w:space="0" w:color="auto"/>
            </w:tcBorders>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7.96</w:t>
            </w:r>
          </w:p>
        </w:tc>
        <w:tc>
          <w:tcPr>
            <w:tcW w:w="960" w:type="dxa"/>
            <w:tcBorders>
              <w:bottom w:val="single" w:sz="4" w:space="0" w:color="auto"/>
            </w:tcBorders>
            <w:noWrap/>
            <w:vAlign w:val="bottom"/>
          </w:tcPr>
          <w:p w:rsidR="00A00479" w:rsidRPr="00C03F28" w:rsidRDefault="00A00479" w:rsidP="00542B59">
            <w:pPr>
              <w:jc w:val="center"/>
              <w:rPr>
                <w:rFonts w:eastAsia="Times New Roman"/>
                <w:color w:val="000000"/>
                <w:lang w:eastAsia="en-GB"/>
              </w:rPr>
            </w:pPr>
            <w:r w:rsidRPr="00C03F28">
              <w:rPr>
                <w:rFonts w:eastAsia="Times New Roman"/>
                <w:color w:val="000000"/>
                <w:lang w:eastAsia="en-GB"/>
              </w:rPr>
              <w:t>0.01</w:t>
            </w:r>
          </w:p>
        </w:tc>
      </w:tr>
      <w:tr w:rsidR="00A00479" w:rsidRPr="00791593" w:rsidTr="00542B59">
        <w:trPr>
          <w:trHeight w:val="315"/>
          <w:jc w:val="center"/>
        </w:trPr>
        <w:tc>
          <w:tcPr>
            <w:tcW w:w="9741" w:type="dxa"/>
            <w:gridSpan w:val="5"/>
            <w:tcBorders>
              <w:top w:val="single" w:sz="4" w:space="0" w:color="auto"/>
              <w:bottom w:val="single" w:sz="4" w:space="0" w:color="auto"/>
            </w:tcBorders>
            <w:noWrap/>
            <w:vAlign w:val="bottom"/>
          </w:tcPr>
          <w:p w:rsidR="00A00479" w:rsidRPr="00B46AA2" w:rsidRDefault="00A00479" w:rsidP="005D778D">
            <w:pPr>
              <w:jc w:val="both"/>
              <w:rPr>
                <w:rFonts w:eastAsia="Times New Roman"/>
                <w:i/>
                <w:color w:val="000000"/>
                <w:lang w:eastAsia="en-GB"/>
              </w:rPr>
            </w:pPr>
            <w:r w:rsidRPr="00B46AA2">
              <w:rPr>
                <w:rFonts w:eastAsia="Times New Roman"/>
                <w:b/>
                <w:i/>
                <w:color w:val="000000"/>
                <w:sz w:val="22"/>
                <w:szCs w:val="22"/>
                <w:lang w:eastAsia="en-GB"/>
              </w:rPr>
              <w:t>Note</w:t>
            </w:r>
            <w:r w:rsidRPr="00B46AA2">
              <w:rPr>
                <w:rFonts w:eastAsia="Times New Roman"/>
                <w:i/>
                <w:color w:val="000000"/>
                <w:sz w:val="22"/>
                <w:szCs w:val="22"/>
                <w:lang w:eastAsia="en-GB"/>
              </w:rPr>
              <w:t>: Maximum values are underlined. The F test and p-values are taken from ANOVA analysis. Significance level is based on one-way ANOVA.</w:t>
            </w:r>
          </w:p>
        </w:tc>
      </w:tr>
    </w:tbl>
    <w:p w:rsidR="00A00479" w:rsidRDefault="00A00479" w:rsidP="005D778D">
      <w:pPr>
        <w:pStyle w:val="DPekakappale"/>
        <w:spacing w:line="360" w:lineRule="auto"/>
        <w:jc w:val="both"/>
        <w:rPr>
          <w:b/>
        </w:rPr>
      </w:pPr>
    </w:p>
    <w:p w:rsidR="00A00479" w:rsidRDefault="00A00479" w:rsidP="00C66092">
      <w:pPr>
        <w:pStyle w:val="ListParagraph"/>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 xml:space="preserve">The results highlight the importance of internal-foreign factors like transport costs, infrastructure corruption and theft. Within the </w:t>
      </w:r>
      <w:r w:rsidRPr="00C66092">
        <w:rPr>
          <w:rFonts w:ascii="Times New Roman" w:hAnsi="Times New Roman"/>
          <w:sz w:val="24"/>
          <w:szCs w:val="24"/>
          <w:lang w:eastAsia="zh-CN"/>
        </w:rPr>
        <w:t>India</w:t>
      </w:r>
      <w:r>
        <w:rPr>
          <w:rFonts w:ascii="Times New Roman" w:hAnsi="Times New Roman"/>
          <w:sz w:val="24"/>
          <w:szCs w:val="24"/>
          <w:lang w:eastAsia="zh-CN"/>
        </w:rPr>
        <w:t>n context, the</w:t>
      </w:r>
      <w:r w:rsidRPr="00C66092">
        <w:rPr>
          <w:rFonts w:ascii="Times New Roman" w:hAnsi="Times New Roman"/>
          <w:sz w:val="24"/>
          <w:szCs w:val="24"/>
          <w:lang w:eastAsia="zh-CN"/>
        </w:rPr>
        <w:t xml:space="preserve"> power sector faces severe capacity shortages, with poor reliability, frequent black-outs,</w:t>
      </w:r>
      <w:r w:rsidRPr="00D2075F">
        <w:rPr>
          <w:rFonts w:ascii="Times New Roman" w:hAnsi="Times New Roman"/>
          <w:sz w:val="24"/>
          <w:szCs w:val="24"/>
          <w:lang w:eastAsia="zh-CN"/>
        </w:rPr>
        <w:t xml:space="preserve"> and low per capita consumption.</w:t>
      </w:r>
      <w:r w:rsidRPr="00D2075F">
        <w:rPr>
          <w:rFonts w:ascii="Times New Roman" w:hAnsi="Times New Roman"/>
          <w:sz w:val="24"/>
          <w:szCs w:val="24"/>
        </w:rPr>
        <w:t xml:space="preserve"> </w:t>
      </w:r>
      <w:r w:rsidRPr="00D2075F">
        <w:rPr>
          <w:rFonts w:ascii="Times New Roman" w:hAnsi="Times New Roman"/>
          <w:sz w:val="24"/>
          <w:szCs w:val="24"/>
          <w:lang w:eastAsia="en-IN"/>
        </w:rPr>
        <w:t xml:space="preserve">High electricity prices increase the total cost for firms and undermines their capacity to focus production on higher value-added segments in the supply chain. </w:t>
      </w:r>
      <w:r w:rsidRPr="00D2075F">
        <w:rPr>
          <w:rFonts w:ascii="Times New Roman" w:hAnsi="Times New Roman"/>
          <w:sz w:val="24"/>
          <w:szCs w:val="24"/>
        </w:rPr>
        <w:t xml:space="preserve">Disruptions in electricity supplies including frequent power stoppages, fluctuations and transmission losses are another aspect of infrastructural problems commonly experienced by exporters in India. </w:t>
      </w:r>
      <w:r>
        <w:rPr>
          <w:rFonts w:ascii="Times New Roman" w:hAnsi="Times New Roman"/>
          <w:sz w:val="24"/>
          <w:szCs w:val="24"/>
          <w:lang w:eastAsia="en-IN"/>
        </w:rPr>
        <w:t>Second</w:t>
      </w:r>
      <w:r w:rsidRPr="00D2075F">
        <w:rPr>
          <w:rFonts w:ascii="Times New Roman" w:hAnsi="Times New Roman"/>
          <w:sz w:val="24"/>
          <w:szCs w:val="24"/>
          <w:lang w:eastAsia="en-IN"/>
        </w:rPr>
        <w:t xml:space="preserve">, </w:t>
      </w:r>
      <w:r w:rsidRPr="00D2075F">
        <w:rPr>
          <w:rFonts w:ascii="Times New Roman" w:hAnsi="Times New Roman"/>
          <w:sz w:val="24"/>
          <w:szCs w:val="24"/>
        </w:rPr>
        <w:t xml:space="preserve">transportation problems caused by delays on roads and congestion at ports leads to high inventory costs which affects export </w:t>
      </w:r>
      <w:r w:rsidRPr="00D2075F">
        <w:rPr>
          <w:rFonts w:ascii="Times New Roman" w:hAnsi="Times New Roman"/>
          <w:sz w:val="24"/>
          <w:szCs w:val="24"/>
        </w:rPr>
        <w:lastRenderedPageBreak/>
        <w:t>competitiveness adversely. Third, there are frequent strikes that lead to delays in loading containers which add to the total warehousing costs and even lead to missing shipping deadlines.</w:t>
      </w:r>
      <w:r>
        <w:rPr>
          <w:rFonts w:ascii="Times New Roman" w:hAnsi="Times New Roman"/>
          <w:sz w:val="24"/>
          <w:szCs w:val="24"/>
        </w:rPr>
        <w:t xml:space="preserve"> Besides, exporters often resort to “speed money” to expedite the approval procedure which explains </w:t>
      </w:r>
      <w:r w:rsidR="00020B1C">
        <w:rPr>
          <w:rFonts w:ascii="Times New Roman" w:hAnsi="Times New Roman"/>
          <w:sz w:val="24"/>
          <w:szCs w:val="24"/>
        </w:rPr>
        <w:t>why</w:t>
      </w:r>
      <w:r>
        <w:rPr>
          <w:rFonts w:ascii="Times New Roman" w:hAnsi="Times New Roman"/>
          <w:sz w:val="24"/>
          <w:szCs w:val="24"/>
        </w:rPr>
        <w:t xml:space="preserve"> exporters perceive corruption as a barrier</w:t>
      </w:r>
      <w:r w:rsidR="00020B1C">
        <w:rPr>
          <w:rFonts w:ascii="Times New Roman" w:hAnsi="Times New Roman"/>
          <w:sz w:val="24"/>
          <w:szCs w:val="24"/>
        </w:rPr>
        <w:t xml:space="preserve"> to exports</w:t>
      </w:r>
      <w:r>
        <w:rPr>
          <w:rFonts w:ascii="Times New Roman" w:hAnsi="Times New Roman"/>
          <w:sz w:val="24"/>
          <w:szCs w:val="24"/>
        </w:rPr>
        <w:t>.</w:t>
      </w:r>
      <w:r w:rsidRPr="00A32B2B">
        <w:rPr>
          <w:rFonts w:ascii="Times New Roman" w:hAnsi="Times New Roman"/>
          <w:sz w:val="24"/>
          <w:szCs w:val="24"/>
        </w:rPr>
        <w:t xml:space="preserve"> </w:t>
      </w:r>
    </w:p>
    <w:p w:rsidR="00A00479" w:rsidRPr="00A32B2B" w:rsidRDefault="00A00479" w:rsidP="00C66092">
      <w:pPr>
        <w:pStyle w:val="ListParagraph"/>
        <w:tabs>
          <w:tab w:val="left" w:pos="0"/>
        </w:tabs>
        <w:spacing w:after="0" w:line="360" w:lineRule="auto"/>
        <w:ind w:left="0"/>
        <w:jc w:val="both"/>
        <w:rPr>
          <w:rFonts w:ascii="Times New Roman" w:hAnsi="Times New Roman"/>
          <w:b/>
          <w:sz w:val="24"/>
          <w:szCs w:val="24"/>
        </w:rPr>
      </w:pPr>
    </w:p>
    <w:p w:rsidR="00A00479" w:rsidRPr="00D92694" w:rsidRDefault="00A00479" w:rsidP="00D92694">
      <w:pPr>
        <w:pStyle w:val="Default"/>
        <w:spacing w:line="360" w:lineRule="auto"/>
        <w:jc w:val="both"/>
      </w:pPr>
      <w:r w:rsidRPr="00D92694">
        <w:t>T</w:t>
      </w:r>
      <w:r w:rsidR="00020B1C">
        <w:t xml:space="preserve">able 4 shows how </w:t>
      </w:r>
      <w:r w:rsidRPr="00D92694">
        <w:t>exporters’ perceptions</w:t>
      </w:r>
      <w:r w:rsidR="00020B1C">
        <w:t xml:space="preserve"> impact on firms’</w:t>
      </w:r>
      <w:r w:rsidRPr="00D92694">
        <w:t xml:space="preserve"> </w:t>
      </w:r>
      <w:r>
        <w:t>strategy</w:t>
      </w:r>
      <w:r w:rsidR="00020B1C">
        <w:t xml:space="preserve"> orientation. </w:t>
      </w:r>
      <w:r>
        <w:t>The results show that mo</w:t>
      </w:r>
      <w:r w:rsidRPr="00D92694">
        <w:t xml:space="preserve">st firms focus on </w:t>
      </w:r>
      <w:r>
        <w:t xml:space="preserve">addressing </w:t>
      </w:r>
      <w:r w:rsidR="00D540CD">
        <w:t xml:space="preserve">the </w:t>
      </w:r>
      <w:r w:rsidRPr="00D92694">
        <w:t xml:space="preserve">external-foreign problems </w:t>
      </w:r>
      <w:r w:rsidR="00D540CD">
        <w:t>with</w:t>
      </w:r>
      <w:r>
        <w:t xml:space="preserve">in the business environment with only </w:t>
      </w:r>
      <w:r w:rsidRPr="00D92694">
        <w:t xml:space="preserve">a small </w:t>
      </w:r>
      <w:r>
        <w:t>number</w:t>
      </w:r>
      <w:r w:rsidRPr="00D92694">
        <w:t xml:space="preserve"> </w:t>
      </w:r>
      <w:r>
        <w:t>prioritising addressing</w:t>
      </w:r>
      <w:r w:rsidRPr="00D92694">
        <w:t xml:space="preserve"> </w:t>
      </w:r>
      <w:r w:rsidR="00D540CD">
        <w:t xml:space="preserve">the </w:t>
      </w:r>
      <w:r w:rsidRPr="00D92694">
        <w:t xml:space="preserve">internal-foreign </w:t>
      </w:r>
      <w:r>
        <w:t>problems</w:t>
      </w:r>
      <w:r w:rsidRPr="00D92694">
        <w:t xml:space="preserve"> </w:t>
      </w:r>
      <w:r>
        <w:t xml:space="preserve">over </w:t>
      </w:r>
      <w:r w:rsidRPr="00D92694">
        <w:t>external</w:t>
      </w:r>
      <w:r w:rsidR="00D540CD">
        <w:t>-foreign</w:t>
      </w:r>
      <w:r w:rsidRPr="00D92694">
        <w:t xml:space="preserve"> </w:t>
      </w:r>
      <w:r>
        <w:t>problems</w:t>
      </w:r>
      <w:r w:rsidR="00020B1C">
        <w:t>.</w:t>
      </w:r>
    </w:p>
    <w:p w:rsidR="00A00479" w:rsidRPr="00D92694" w:rsidRDefault="00A00479" w:rsidP="00D92694">
      <w:pPr>
        <w:pStyle w:val="Default"/>
        <w:spacing w:line="360" w:lineRule="auto"/>
        <w:jc w:val="both"/>
      </w:pPr>
    </w:p>
    <w:p w:rsidR="00A00479" w:rsidRDefault="00A00479" w:rsidP="002D4284">
      <w:pPr>
        <w:pStyle w:val="Caption"/>
        <w:keepNext/>
        <w:ind w:firstLine="720"/>
      </w:pPr>
      <w:r>
        <w:t xml:space="preserve">Table </w:t>
      </w:r>
      <w:r w:rsidR="00020B1C">
        <w:t>4</w:t>
      </w:r>
      <w:r>
        <w:t>: Strategy</w:t>
      </w:r>
      <w:r w:rsidR="00E01865">
        <w:t xml:space="preserve"> orientation</w:t>
      </w:r>
      <w:r>
        <w:t xml:space="preserve"> of exporting firms</w:t>
      </w:r>
    </w:p>
    <w:tbl>
      <w:tblPr>
        <w:tblW w:w="0" w:type="auto"/>
        <w:tblInd w:w="572" w:type="dxa"/>
        <w:tblLook w:val="00A0"/>
      </w:tblPr>
      <w:tblGrid>
        <w:gridCol w:w="1638"/>
        <w:gridCol w:w="2721"/>
        <w:gridCol w:w="2327"/>
      </w:tblGrid>
      <w:tr w:rsidR="00A00479" w:rsidRPr="00571DFE" w:rsidTr="007561EF">
        <w:trPr>
          <w:trHeight w:val="294"/>
        </w:trPr>
        <w:tc>
          <w:tcPr>
            <w:tcW w:w="1638" w:type="dxa"/>
            <w:tcBorders>
              <w:top w:val="single" w:sz="4" w:space="0" w:color="auto"/>
            </w:tcBorders>
            <w:vAlign w:val="bottom"/>
          </w:tcPr>
          <w:p w:rsidR="00A00479" w:rsidRPr="00571DFE" w:rsidRDefault="00A00479" w:rsidP="00FD30AF">
            <w:pPr>
              <w:jc w:val="center"/>
            </w:pPr>
            <w:r>
              <w:t>Factors</w:t>
            </w:r>
          </w:p>
        </w:tc>
        <w:tc>
          <w:tcPr>
            <w:tcW w:w="5048" w:type="dxa"/>
            <w:gridSpan w:val="2"/>
            <w:tcBorders>
              <w:top w:val="single" w:sz="4" w:space="0" w:color="auto"/>
            </w:tcBorders>
            <w:vAlign w:val="bottom"/>
          </w:tcPr>
          <w:p w:rsidR="00A00479" w:rsidRPr="00C03F28" w:rsidRDefault="00A00479" w:rsidP="00FD30AF">
            <w:pPr>
              <w:jc w:val="center"/>
              <w:rPr>
                <w:rFonts w:eastAsia="Times New Roman"/>
                <w:color w:val="000000"/>
                <w:lang w:eastAsia="en-GB"/>
              </w:rPr>
            </w:pPr>
            <w:r>
              <w:rPr>
                <w:rFonts w:eastAsia="Times New Roman"/>
                <w:color w:val="000000"/>
                <w:lang w:eastAsia="en-GB"/>
              </w:rPr>
              <w:t>Clusters</w:t>
            </w:r>
          </w:p>
        </w:tc>
      </w:tr>
      <w:tr w:rsidR="00A00479" w:rsidRPr="00571DFE" w:rsidTr="007561EF">
        <w:trPr>
          <w:trHeight w:val="294"/>
        </w:trPr>
        <w:tc>
          <w:tcPr>
            <w:tcW w:w="1638" w:type="dxa"/>
            <w:tcBorders>
              <w:top w:val="single" w:sz="4" w:space="0" w:color="auto"/>
            </w:tcBorders>
            <w:vAlign w:val="center"/>
          </w:tcPr>
          <w:p w:rsidR="00A00479" w:rsidRPr="00571DFE" w:rsidRDefault="00A00479" w:rsidP="00FD30AF">
            <w:pPr>
              <w:jc w:val="center"/>
            </w:pPr>
          </w:p>
        </w:tc>
        <w:tc>
          <w:tcPr>
            <w:tcW w:w="2721" w:type="dxa"/>
            <w:tcBorders>
              <w:top w:val="single" w:sz="4" w:space="0" w:color="auto"/>
            </w:tcBorders>
            <w:vAlign w:val="center"/>
          </w:tcPr>
          <w:p w:rsidR="00A00479" w:rsidRPr="00C03F28" w:rsidRDefault="00A00479" w:rsidP="00FD30AF">
            <w:pPr>
              <w:jc w:val="center"/>
              <w:rPr>
                <w:rFonts w:eastAsia="Times New Roman"/>
                <w:color w:val="000000"/>
                <w:lang w:eastAsia="en-GB"/>
              </w:rPr>
            </w:pPr>
            <w:r w:rsidRPr="00C03F28">
              <w:rPr>
                <w:rFonts w:eastAsia="Times New Roman"/>
                <w:color w:val="000000"/>
                <w:lang w:eastAsia="en-GB"/>
              </w:rPr>
              <w:t>External-foreign</w:t>
            </w:r>
          </w:p>
        </w:tc>
        <w:tc>
          <w:tcPr>
            <w:tcW w:w="2327" w:type="dxa"/>
            <w:tcBorders>
              <w:top w:val="single" w:sz="4" w:space="0" w:color="auto"/>
            </w:tcBorders>
            <w:vAlign w:val="center"/>
          </w:tcPr>
          <w:p w:rsidR="00A00479" w:rsidRPr="00C03F28" w:rsidRDefault="00A00479" w:rsidP="00FD30AF">
            <w:pPr>
              <w:jc w:val="center"/>
              <w:rPr>
                <w:rFonts w:eastAsia="Times New Roman"/>
                <w:color w:val="000000"/>
                <w:lang w:eastAsia="en-GB"/>
              </w:rPr>
            </w:pPr>
            <w:r w:rsidRPr="00C03F28">
              <w:rPr>
                <w:rFonts w:eastAsia="Times New Roman"/>
                <w:color w:val="000000"/>
                <w:lang w:eastAsia="en-GB"/>
              </w:rPr>
              <w:t>Internal-foreign</w:t>
            </w:r>
          </w:p>
        </w:tc>
      </w:tr>
      <w:tr w:rsidR="00A00479" w:rsidRPr="00571DFE" w:rsidTr="007561EF">
        <w:trPr>
          <w:trHeight w:val="78"/>
        </w:trPr>
        <w:tc>
          <w:tcPr>
            <w:tcW w:w="1638" w:type="dxa"/>
            <w:vAlign w:val="center"/>
          </w:tcPr>
          <w:p w:rsidR="00A00479" w:rsidRPr="00571DFE" w:rsidRDefault="00A00479" w:rsidP="00FD30AF">
            <w:pPr>
              <w:jc w:val="center"/>
            </w:pPr>
            <w:r>
              <w:t>Factor 1</w:t>
            </w:r>
          </w:p>
        </w:tc>
        <w:tc>
          <w:tcPr>
            <w:tcW w:w="2721" w:type="dxa"/>
            <w:vAlign w:val="center"/>
          </w:tcPr>
          <w:p w:rsidR="00A00479" w:rsidRPr="00D77D66" w:rsidRDefault="00A00479" w:rsidP="00FD30AF">
            <w:pPr>
              <w:jc w:val="center"/>
              <w:rPr>
                <w:i/>
              </w:rPr>
            </w:pPr>
            <w:r w:rsidRPr="00D77D66">
              <w:rPr>
                <w:i/>
              </w:rPr>
              <w:t>High</w:t>
            </w:r>
          </w:p>
        </w:tc>
        <w:tc>
          <w:tcPr>
            <w:tcW w:w="2327" w:type="dxa"/>
            <w:vAlign w:val="center"/>
          </w:tcPr>
          <w:p w:rsidR="00A00479" w:rsidRPr="00D77D66" w:rsidRDefault="00A00479" w:rsidP="00FD30AF">
            <w:pPr>
              <w:jc w:val="center"/>
              <w:rPr>
                <w:i/>
              </w:rPr>
            </w:pPr>
            <w:r w:rsidRPr="00D77D66">
              <w:rPr>
                <w:i/>
              </w:rPr>
              <w:t>Low</w:t>
            </w:r>
          </w:p>
        </w:tc>
      </w:tr>
      <w:tr w:rsidR="00A00479" w:rsidRPr="00571DFE" w:rsidTr="007561EF">
        <w:trPr>
          <w:trHeight w:val="294"/>
        </w:trPr>
        <w:tc>
          <w:tcPr>
            <w:tcW w:w="1638" w:type="dxa"/>
            <w:tcBorders>
              <w:bottom w:val="single" w:sz="4" w:space="0" w:color="auto"/>
            </w:tcBorders>
            <w:vAlign w:val="center"/>
          </w:tcPr>
          <w:p w:rsidR="00A00479" w:rsidRPr="00571DFE" w:rsidRDefault="00A00479" w:rsidP="00FD30AF">
            <w:pPr>
              <w:jc w:val="center"/>
            </w:pPr>
            <w:r>
              <w:t>Factor 2</w:t>
            </w:r>
          </w:p>
        </w:tc>
        <w:tc>
          <w:tcPr>
            <w:tcW w:w="2721" w:type="dxa"/>
            <w:tcBorders>
              <w:bottom w:val="single" w:sz="4" w:space="0" w:color="auto"/>
            </w:tcBorders>
            <w:vAlign w:val="center"/>
          </w:tcPr>
          <w:p w:rsidR="00A00479" w:rsidRPr="00D77D66" w:rsidRDefault="00A00479" w:rsidP="00FD30AF">
            <w:pPr>
              <w:jc w:val="center"/>
              <w:rPr>
                <w:i/>
              </w:rPr>
            </w:pPr>
            <w:r w:rsidRPr="00D77D66">
              <w:rPr>
                <w:i/>
              </w:rPr>
              <w:t>Low</w:t>
            </w:r>
          </w:p>
        </w:tc>
        <w:tc>
          <w:tcPr>
            <w:tcW w:w="2327" w:type="dxa"/>
            <w:tcBorders>
              <w:bottom w:val="single" w:sz="4" w:space="0" w:color="auto"/>
            </w:tcBorders>
            <w:vAlign w:val="center"/>
          </w:tcPr>
          <w:p w:rsidR="00A00479" w:rsidRPr="00D77D66" w:rsidRDefault="00A00479" w:rsidP="00FD30AF">
            <w:pPr>
              <w:jc w:val="center"/>
              <w:rPr>
                <w:i/>
              </w:rPr>
            </w:pPr>
            <w:r w:rsidRPr="00D77D66">
              <w:rPr>
                <w:i/>
              </w:rPr>
              <w:t>High</w:t>
            </w:r>
          </w:p>
        </w:tc>
      </w:tr>
    </w:tbl>
    <w:p w:rsidR="00A00479" w:rsidRPr="00D92694" w:rsidRDefault="00A00479" w:rsidP="00D92694">
      <w:pPr>
        <w:pStyle w:val="Default"/>
        <w:spacing w:line="360" w:lineRule="auto"/>
        <w:jc w:val="both"/>
      </w:pPr>
    </w:p>
    <w:p w:rsidR="00A00479" w:rsidRPr="00D92694" w:rsidRDefault="00D540CD" w:rsidP="00D92694">
      <w:pPr>
        <w:spacing w:line="360" w:lineRule="auto"/>
        <w:jc w:val="both"/>
      </w:pPr>
      <w:r>
        <w:t>This suggests that f</w:t>
      </w:r>
      <w:r w:rsidR="00A00479">
        <w:t>irms</w:t>
      </w:r>
      <w:r w:rsidR="00E01865">
        <w:t xml:space="preserve"> in</w:t>
      </w:r>
      <w:r w:rsidR="00A00479">
        <w:t xml:space="preserve"> cl</w:t>
      </w:r>
      <w:r w:rsidR="00A00479" w:rsidRPr="00D92694">
        <w:t xml:space="preserve">uster 1 </w:t>
      </w:r>
      <w:r w:rsidR="00A00479">
        <w:t xml:space="preserve">are </w:t>
      </w:r>
      <w:r w:rsidR="00A00479" w:rsidRPr="00D92694">
        <w:t xml:space="preserve">orientated to address external-foreign problems </w:t>
      </w:r>
      <w:r w:rsidR="00A00479">
        <w:t xml:space="preserve">like </w:t>
      </w:r>
      <w:r w:rsidR="00A00479" w:rsidRPr="00D92694">
        <w:t>customs procedures, administrative and regulatory barriers. Cluster 2 r</w:t>
      </w:r>
      <w:r w:rsidR="00E01865">
        <w:t>elates to firms orientation</w:t>
      </w:r>
      <w:r w:rsidR="00A00479" w:rsidRPr="00D92694">
        <w:t xml:space="preserve"> to address internal-foreign problems associated with exporters’ resources</w:t>
      </w:r>
      <w:r w:rsidR="00A00479">
        <w:t>,</w:t>
      </w:r>
      <w:r w:rsidR="00A00479" w:rsidRPr="00D92694">
        <w:t xml:space="preserve"> capabilities and </w:t>
      </w:r>
      <w:r w:rsidR="00E01865">
        <w:t xml:space="preserve">overall </w:t>
      </w:r>
      <w:r w:rsidR="00A00479">
        <w:t>business strategies so that f</w:t>
      </w:r>
      <w:r w:rsidR="00A00479" w:rsidRPr="00D92694">
        <w:t xml:space="preserve">irms in </w:t>
      </w:r>
      <w:r w:rsidR="00A00479">
        <w:t xml:space="preserve">this </w:t>
      </w:r>
      <w:r w:rsidR="00A00479" w:rsidRPr="00D92694">
        <w:t xml:space="preserve">cluster are affected by barriers usually outside the scope of individual </w:t>
      </w:r>
      <w:r w:rsidR="00A00479">
        <w:t>exporters</w:t>
      </w:r>
      <w:r w:rsidR="00A00479" w:rsidRPr="00D92694">
        <w:t>.</w:t>
      </w:r>
    </w:p>
    <w:p w:rsidR="00A00479" w:rsidRPr="00D92694" w:rsidRDefault="00A00479" w:rsidP="00D92694">
      <w:pPr>
        <w:spacing w:line="360" w:lineRule="auto"/>
        <w:jc w:val="both"/>
      </w:pPr>
    </w:p>
    <w:p w:rsidR="00A00479" w:rsidRDefault="00A00479" w:rsidP="00D92694">
      <w:pPr>
        <w:spacing w:line="360" w:lineRule="auto"/>
        <w:jc w:val="both"/>
      </w:pPr>
      <w:r>
        <w:t>Table 5 analyses the relationship between firm</w:t>
      </w:r>
      <w:r w:rsidR="00E01865">
        <w:t>s’</w:t>
      </w:r>
      <w:r>
        <w:t xml:space="preserve"> strategy</w:t>
      </w:r>
      <w:r w:rsidR="00E01865">
        <w:t xml:space="preserve">-orientation </w:t>
      </w:r>
      <w:r>
        <w:t>and characteristics</w:t>
      </w:r>
      <w:r w:rsidRPr="00D92694">
        <w:t xml:space="preserve">. </w:t>
      </w:r>
      <w:r>
        <w:t>T</w:t>
      </w:r>
      <w:r w:rsidRPr="00D92694">
        <w:t xml:space="preserve">he </w:t>
      </w:r>
      <w:r>
        <w:t xml:space="preserve">descriptive </w:t>
      </w:r>
      <w:r w:rsidRPr="00D92694">
        <w:t xml:space="preserve">statistics </w:t>
      </w:r>
      <w:r>
        <w:t xml:space="preserve">show </w:t>
      </w:r>
      <w:r w:rsidRPr="00D92694">
        <w:t>that external-foreign factors affect small</w:t>
      </w:r>
      <w:r>
        <w:t xml:space="preserve"> exporters</w:t>
      </w:r>
      <w:r w:rsidRPr="00D92694">
        <w:t xml:space="preserve"> </w:t>
      </w:r>
      <w:r>
        <w:t xml:space="preserve">(defined </w:t>
      </w:r>
      <w:r w:rsidRPr="00D92694">
        <w:t>in terms of employee size and turnover</w:t>
      </w:r>
      <w:r>
        <w:t>)</w:t>
      </w:r>
      <w:r w:rsidRPr="00D92694">
        <w:t xml:space="preserve"> while the larger firms are </w:t>
      </w:r>
      <w:r>
        <w:t xml:space="preserve">mainly </w:t>
      </w:r>
      <w:r w:rsidRPr="00D92694">
        <w:t>affected by internal</w:t>
      </w:r>
      <w:r>
        <w:t>-</w:t>
      </w:r>
      <w:r w:rsidRPr="00D92694">
        <w:t>foreign factors. In contrast</w:t>
      </w:r>
      <w:r>
        <w:t>,</w:t>
      </w:r>
      <w:r w:rsidRPr="00D92694">
        <w:t xml:space="preserve"> firms with </w:t>
      </w:r>
      <w:r>
        <w:t>more</w:t>
      </w:r>
      <w:r w:rsidRPr="00D92694">
        <w:t xml:space="preserve"> export experience are affected by external-foreign factors while those with less experience </w:t>
      </w:r>
      <w:r>
        <w:t xml:space="preserve">tend to be impacted </w:t>
      </w:r>
      <w:r w:rsidRPr="00D92694">
        <w:t xml:space="preserve">by internal-foreign factors. </w:t>
      </w:r>
    </w:p>
    <w:p w:rsidR="00A00479" w:rsidRPr="00D92694" w:rsidRDefault="00A00479" w:rsidP="00D92694">
      <w:pPr>
        <w:pStyle w:val="Default"/>
        <w:spacing w:line="360" w:lineRule="auto"/>
        <w:jc w:val="both"/>
        <w:rPr>
          <w:color w:val="auto"/>
        </w:rPr>
      </w:pPr>
    </w:p>
    <w:p w:rsidR="00A00479" w:rsidRDefault="00A00479" w:rsidP="002D4284">
      <w:pPr>
        <w:pStyle w:val="Caption"/>
        <w:keepNext/>
      </w:pPr>
      <w:r>
        <w:t xml:space="preserve">Table </w:t>
      </w:r>
      <w:r w:rsidR="00E01865">
        <w:t>5</w:t>
      </w:r>
      <w:r>
        <w:t>: Descriptive statistics</w:t>
      </w:r>
    </w:p>
    <w:tbl>
      <w:tblPr>
        <w:tblW w:w="9539" w:type="dxa"/>
        <w:tblInd w:w="93" w:type="dxa"/>
        <w:tblLook w:val="00A0"/>
      </w:tblPr>
      <w:tblGrid>
        <w:gridCol w:w="3534"/>
        <w:gridCol w:w="2922"/>
        <w:gridCol w:w="3083"/>
      </w:tblGrid>
      <w:tr w:rsidR="00A00479" w:rsidRPr="00D77D66" w:rsidTr="007561EF">
        <w:trPr>
          <w:trHeight w:val="302"/>
        </w:trPr>
        <w:tc>
          <w:tcPr>
            <w:tcW w:w="3534" w:type="dxa"/>
            <w:tcBorders>
              <w:top w:val="single" w:sz="4" w:space="0" w:color="auto"/>
            </w:tcBorders>
            <w:noWrap/>
            <w:vAlign w:val="bottom"/>
          </w:tcPr>
          <w:p w:rsidR="00A00479" w:rsidRPr="00D77D66" w:rsidRDefault="00A00479" w:rsidP="00542B59">
            <w:pPr>
              <w:spacing w:line="360" w:lineRule="auto"/>
              <w:rPr>
                <w:rFonts w:eastAsia="Times New Roman"/>
                <w:color w:val="000000"/>
                <w:lang w:eastAsia="en-GB"/>
              </w:rPr>
            </w:pPr>
          </w:p>
        </w:tc>
        <w:tc>
          <w:tcPr>
            <w:tcW w:w="6005" w:type="dxa"/>
            <w:gridSpan w:val="2"/>
            <w:tcBorders>
              <w:top w:val="single" w:sz="4" w:space="0" w:color="auto"/>
            </w:tcBorders>
            <w:noWrap/>
            <w:vAlign w:val="bottom"/>
          </w:tcPr>
          <w:p w:rsidR="00A00479" w:rsidRDefault="00A00479" w:rsidP="00542B59">
            <w:pPr>
              <w:spacing w:line="360" w:lineRule="auto"/>
              <w:jc w:val="center"/>
            </w:pPr>
            <w:r>
              <w:t>Clusters</w:t>
            </w:r>
          </w:p>
        </w:tc>
      </w:tr>
      <w:tr w:rsidR="00A00479" w:rsidRPr="00D77D66" w:rsidTr="00556EDD">
        <w:trPr>
          <w:trHeight w:val="302"/>
        </w:trPr>
        <w:tc>
          <w:tcPr>
            <w:tcW w:w="3534" w:type="dxa"/>
            <w:noWrap/>
            <w:vAlign w:val="bottom"/>
          </w:tcPr>
          <w:p w:rsidR="00A00479" w:rsidRPr="00D77D66" w:rsidRDefault="00A00479" w:rsidP="00542B59">
            <w:pPr>
              <w:spacing w:line="360" w:lineRule="auto"/>
              <w:rPr>
                <w:rFonts w:eastAsia="Times New Roman"/>
                <w:color w:val="000000"/>
                <w:lang w:eastAsia="en-GB"/>
              </w:rPr>
            </w:pPr>
          </w:p>
        </w:tc>
        <w:tc>
          <w:tcPr>
            <w:tcW w:w="2922" w:type="dxa"/>
            <w:noWrap/>
            <w:vAlign w:val="bottom"/>
          </w:tcPr>
          <w:p w:rsidR="00A00479" w:rsidRPr="00D77D66" w:rsidRDefault="00A00479" w:rsidP="00542B59">
            <w:pPr>
              <w:spacing w:line="360" w:lineRule="auto"/>
              <w:jc w:val="center"/>
              <w:rPr>
                <w:rFonts w:eastAsia="Times New Roman"/>
                <w:color w:val="000000"/>
                <w:lang w:eastAsia="en-GB"/>
              </w:rPr>
            </w:pPr>
            <w:r w:rsidRPr="00C03F28">
              <w:rPr>
                <w:rFonts w:eastAsia="Times New Roman"/>
                <w:color w:val="000000"/>
                <w:lang w:eastAsia="en-GB"/>
              </w:rPr>
              <w:t>External-foreign</w:t>
            </w:r>
          </w:p>
        </w:tc>
        <w:tc>
          <w:tcPr>
            <w:tcW w:w="3083" w:type="dxa"/>
            <w:noWrap/>
            <w:vAlign w:val="bottom"/>
          </w:tcPr>
          <w:p w:rsidR="00A00479" w:rsidRPr="00D77D66" w:rsidRDefault="00A00479" w:rsidP="00542B59">
            <w:pPr>
              <w:spacing w:line="360" w:lineRule="auto"/>
              <w:jc w:val="center"/>
              <w:rPr>
                <w:rFonts w:eastAsia="Times New Roman"/>
                <w:color w:val="000000"/>
                <w:lang w:eastAsia="en-GB"/>
              </w:rPr>
            </w:pPr>
            <w:r>
              <w:t>Internal-foreign</w:t>
            </w:r>
          </w:p>
        </w:tc>
      </w:tr>
      <w:tr w:rsidR="00A00479" w:rsidRPr="00D77D66" w:rsidTr="00556EDD">
        <w:trPr>
          <w:trHeight w:val="302"/>
        </w:trPr>
        <w:tc>
          <w:tcPr>
            <w:tcW w:w="3534" w:type="dxa"/>
            <w:tcBorders>
              <w:top w:val="single" w:sz="4" w:space="0" w:color="auto"/>
            </w:tcBorders>
            <w:noWrap/>
            <w:vAlign w:val="bottom"/>
          </w:tcPr>
          <w:p w:rsidR="00A00479" w:rsidRPr="00D77D66" w:rsidRDefault="00A00479" w:rsidP="00542B59">
            <w:pPr>
              <w:spacing w:line="360" w:lineRule="auto"/>
              <w:rPr>
                <w:rFonts w:eastAsia="Times New Roman"/>
                <w:color w:val="000000"/>
                <w:lang w:eastAsia="en-GB"/>
              </w:rPr>
            </w:pPr>
            <w:r w:rsidRPr="00D77D66">
              <w:rPr>
                <w:rFonts w:eastAsia="Times New Roman"/>
                <w:color w:val="000000"/>
                <w:lang w:eastAsia="en-GB"/>
              </w:rPr>
              <w:t>Turnover</w:t>
            </w:r>
          </w:p>
        </w:tc>
        <w:tc>
          <w:tcPr>
            <w:tcW w:w="2922" w:type="dxa"/>
            <w:tcBorders>
              <w:top w:val="single" w:sz="4" w:space="0" w:color="auto"/>
            </w:tcBorders>
            <w:noWrap/>
            <w:vAlign w:val="bottom"/>
          </w:tcPr>
          <w:p w:rsidR="00A00479" w:rsidRPr="00D77D66" w:rsidRDefault="00A00479" w:rsidP="00542B59">
            <w:pPr>
              <w:spacing w:line="360" w:lineRule="auto"/>
              <w:jc w:val="center"/>
              <w:rPr>
                <w:rFonts w:eastAsia="Times New Roman"/>
                <w:color w:val="000000"/>
                <w:lang w:eastAsia="en-GB"/>
              </w:rPr>
            </w:pPr>
            <w:r w:rsidRPr="00D77D66">
              <w:rPr>
                <w:rFonts w:eastAsia="Times New Roman"/>
                <w:color w:val="000000"/>
                <w:lang w:eastAsia="en-GB"/>
              </w:rPr>
              <w:t>5.02E+08</w:t>
            </w:r>
            <w:r>
              <w:rPr>
                <w:rFonts w:eastAsia="Times New Roman"/>
                <w:color w:val="000000"/>
                <w:lang w:eastAsia="en-GB"/>
              </w:rPr>
              <w:t xml:space="preserve"> (</w:t>
            </w:r>
            <w:r w:rsidRPr="00D77D66">
              <w:rPr>
                <w:rFonts w:eastAsia="Times New Roman"/>
                <w:color w:val="000000"/>
                <w:lang w:eastAsia="en-GB"/>
              </w:rPr>
              <w:t>6.1E+08</w:t>
            </w:r>
            <w:r>
              <w:rPr>
                <w:rFonts w:eastAsia="Times New Roman"/>
                <w:color w:val="000000"/>
                <w:lang w:eastAsia="en-GB"/>
              </w:rPr>
              <w:t>)</w:t>
            </w:r>
          </w:p>
        </w:tc>
        <w:tc>
          <w:tcPr>
            <w:tcW w:w="3083" w:type="dxa"/>
            <w:tcBorders>
              <w:top w:val="single" w:sz="4" w:space="0" w:color="auto"/>
            </w:tcBorders>
            <w:noWrap/>
            <w:vAlign w:val="bottom"/>
          </w:tcPr>
          <w:p w:rsidR="00A00479" w:rsidRPr="00D77D66" w:rsidRDefault="00A00479" w:rsidP="00542B59">
            <w:pPr>
              <w:spacing w:line="360" w:lineRule="auto"/>
              <w:jc w:val="center"/>
              <w:rPr>
                <w:rFonts w:eastAsia="Times New Roman"/>
                <w:color w:val="000000"/>
                <w:lang w:eastAsia="en-GB"/>
              </w:rPr>
            </w:pPr>
            <w:r w:rsidRPr="00D77D66">
              <w:rPr>
                <w:rFonts w:eastAsia="Times New Roman"/>
                <w:color w:val="000000"/>
                <w:lang w:eastAsia="en-GB"/>
              </w:rPr>
              <w:t>8.41E+08</w:t>
            </w:r>
            <w:r>
              <w:rPr>
                <w:rFonts w:eastAsia="Times New Roman"/>
                <w:color w:val="000000"/>
                <w:lang w:eastAsia="en-GB"/>
              </w:rPr>
              <w:t xml:space="preserve"> (</w:t>
            </w:r>
            <w:r w:rsidRPr="00D77D66">
              <w:rPr>
                <w:rFonts w:eastAsia="Times New Roman"/>
                <w:color w:val="000000"/>
                <w:lang w:eastAsia="en-GB"/>
              </w:rPr>
              <w:t>1.73E+09</w:t>
            </w:r>
            <w:r>
              <w:rPr>
                <w:rFonts w:eastAsia="Times New Roman"/>
                <w:color w:val="000000"/>
                <w:lang w:eastAsia="en-GB"/>
              </w:rPr>
              <w:t>)</w:t>
            </w:r>
          </w:p>
        </w:tc>
      </w:tr>
      <w:tr w:rsidR="00A00479" w:rsidRPr="00D77D66" w:rsidTr="00556EDD">
        <w:trPr>
          <w:trHeight w:val="302"/>
        </w:trPr>
        <w:tc>
          <w:tcPr>
            <w:tcW w:w="3534" w:type="dxa"/>
            <w:noWrap/>
            <w:vAlign w:val="bottom"/>
          </w:tcPr>
          <w:p w:rsidR="00A00479" w:rsidRPr="00D77D66" w:rsidRDefault="00A00479" w:rsidP="00542B59">
            <w:pPr>
              <w:spacing w:line="360" w:lineRule="auto"/>
              <w:rPr>
                <w:rFonts w:eastAsia="Times New Roman"/>
                <w:color w:val="000000"/>
                <w:lang w:eastAsia="en-GB"/>
              </w:rPr>
            </w:pPr>
            <w:r w:rsidRPr="00D77D66">
              <w:rPr>
                <w:rFonts w:eastAsia="Times New Roman"/>
                <w:color w:val="000000"/>
                <w:lang w:eastAsia="en-GB"/>
              </w:rPr>
              <w:t>No. of Employees</w:t>
            </w:r>
          </w:p>
        </w:tc>
        <w:tc>
          <w:tcPr>
            <w:tcW w:w="2922" w:type="dxa"/>
            <w:noWrap/>
            <w:vAlign w:val="bottom"/>
          </w:tcPr>
          <w:p w:rsidR="00A00479" w:rsidRPr="00D77D66" w:rsidRDefault="00A00479" w:rsidP="00542B59">
            <w:pPr>
              <w:spacing w:line="360" w:lineRule="auto"/>
              <w:jc w:val="center"/>
              <w:rPr>
                <w:rFonts w:eastAsia="Times New Roman"/>
                <w:color w:val="000000"/>
                <w:lang w:eastAsia="en-GB"/>
              </w:rPr>
            </w:pPr>
            <w:r w:rsidRPr="00D77D66">
              <w:rPr>
                <w:rFonts w:eastAsia="Times New Roman"/>
                <w:color w:val="000000"/>
                <w:lang w:eastAsia="en-GB"/>
              </w:rPr>
              <w:t>777.65</w:t>
            </w:r>
            <w:r>
              <w:rPr>
                <w:rFonts w:eastAsia="Times New Roman"/>
                <w:color w:val="000000"/>
                <w:lang w:eastAsia="en-GB"/>
              </w:rPr>
              <w:t xml:space="preserve"> (</w:t>
            </w:r>
            <w:r w:rsidRPr="00D77D66">
              <w:rPr>
                <w:rFonts w:eastAsia="Times New Roman"/>
                <w:color w:val="000000"/>
                <w:lang w:eastAsia="en-GB"/>
              </w:rPr>
              <w:t>1666</w:t>
            </w:r>
            <w:r>
              <w:rPr>
                <w:rFonts w:eastAsia="Times New Roman"/>
                <w:color w:val="000000"/>
                <w:lang w:eastAsia="en-GB"/>
              </w:rPr>
              <w:t>)</w:t>
            </w:r>
          </w:p>
        </w:tc>
        <w:tc>
          <w:tcPr>
            <w:tcW w:w="3083" w:type="dxa"/>
            <w:noWrap/>
            <w:vAlign w:val="bottom"/>
          </w:tcPr>
          <w:p w:rsidR="00A00479" w:rsidRPr="00D77D66" w:rsidRDefault="00A00479" w:rsidP="00542B59">
            <w:pPr>
              <w:spacing w:line="360" w:lineRule="auto"/>
              <w:jc w:val="center"/>
              <w:rPr>
                <w:rFonts w:eastAsia="Times New Roman"/>
                <w:color w:val="000000"/>
                <w:lang w:eastAsia="en-GB"/>
              </w:rPr>
            </w:pPr>
            <w:r w:rsidRPr="00D77D66">
              <w:rPr>
                <w:rFonts w:eastAsia="Times New Roman"/>
                <w:color w:val="000000"/>
                <w:lang w:eastAsia="en-GB"/>
              </w:rPr>
              <w:t>1857.18</w:t>
            </w:r>
            <w:r>
              <w:rPr>
                <w:rFonts w:eastAsia="Times New Roman"/>
                <w:color w:val="000000"/>
                <w:lang w:eastAsia="en-GB"/>
              </w:rPr>
              <w:t xml:space="preserve"> (</w:t>
            </w:r>
            <w:r w:rsidRPr="00D77D66">
              <w:rPr>
                <w:rFonts w:eastAsia="Times New Roman"/>
                <w:color w:val="000000"/>
                <w:lang w:eastAsia="en-GB"/>
              </w:rPr>
              <w:t>5480</w:t>
            </w:r>
            <w:r>
              <w:rPr>
                <w:rFonts w:eastAsia="Times New Roman"/>
                <w:color w:val="000000"/>
                <w:lang w:eastAsia="en-GB"/>
              </w:rPr>
              <w:t>)</w:t>
            </w:r>
          </w:p>
        </w:tc>
      </w:tr>
      <w:tr w:rsidR="00A00479" w:rsidRPr="00D77D66" w:rsidTr="00556EDD">
        <w:trPr>
          <w:trHeight w:val="302"/>
        </w:trPr>
        <w:tc>
          <w:tcPr>
            <w:tcW w:w="3534" w:type="dxa"/>
            <w:tcBorders>
              <w:bottom w:val="single" w:sz="4" w:space="0" w:color="auto"/>
            </w:tcBorders>
            <w:noWrap/>
            <w:vAlign w:val="bottom"/>
          </w:tcPr>
          <w:p w:rsidR="00A00479" w:rsidRPr="00D77D66" w:rsidRDefault="00A00479" w:rsidP="00542B59">
            <w:pPr>
              <w:spacing w:line="360" w:lineRule="auto"/>
              <w:rPr>
                <w:rFonts w:eastAsia="Times New Roman"/>
                <w:color w:val="000000"/>
                <w:lang w:eastAsia="en-GB"/>
              </w:rPr>
            </w:pPr>
            <w:r w:rsidRPr="00D77D66">
              <w:rPr>
                <w:rFonts w:eastAsia="Times New Roman"/>
                <w:color w:val="000000"/>
                <w:lang w:eastAsia="en-GB"/>
              </w:rPr>
              <w:lastRenderedPageBreak/>
              <w:t>Export Experience</w:t>
            </w:r>
          </w:p>
        </w:tc>
        <w:tc>
          <w:tcPr>
            <w:tcW w:w="2922" w:type="dxa"/>
            <w:tcBorders>
              <w:bottom w:val="single" w:sz="4" w:space="0" w:color="auto"/>
            </w:tcBorders>
            <w:noWrap/>
            <w:vAlign w:val="bottom"/>
          </w:tcPr>
          <w:p w:rsidR="00A00479" w:rsidRPr="00D77D66" w:rsidRDefault="00A00479" w:rsidP="00542B59">
            <w:pPr>
              <w:spacing w:line="360" w:lineRule="auto"/>
              <w:jc w:val="center"/>
              <w:rPr>
                <w:rFonts w:eastAsia="Times New Roman"/>
                <w:color w:val="000000"/>
                <w:lang w:eastAsia="en-GB"/>
              </w:rPr>
            </w:pPr>
            <w:r w:rsidRPr="00D77D66">
              <w:rPr>
                <w:rFonts w:eastAsia="Times New Roman"/>
                <w:color w:val="000000"/>
                <w:lang w:eastAsia="en-GB"/>
              </w:rPr>
              <w:t>20.79</w:t>
            </w:r>
            <w:r>
              <w:rPr>
                <w:rFonts w:eastAsia="Times New Roman"/>
                <w:color w:val="000000"/>
                <w:lang w:eastAsia="en-GB"/>
              </w:rPr>
              <w:t xml:space="preserve"> (</w:t>
            </w:r>
            <w:r w:rsidRPr="00D77D66">
              <w:rPr>
                <w:rFonts w:eastAsia="Times New Roman"/>
                <w:color w:val="000000"/>
                <w:lang w:eastAsia="en-GB"/>
              </w:rPr>
              <w:t>11.5</w:t>
            </w:r>
            <w:r>
              <w:rPr>
                <w:rFonts w:eastAsia="Times New Roman"/>
                <w:color w:val="000000"/>
                <w:lang w:eastAsia="en-GB"/>
              </w:rPr>
              <w:t>1)</w:t>
            </w:r>
          </w:p>
        </w:tc>
        <w:tc>
          <w:tcPr>
            <w:tcW w:w="3083" w:type="dxa"/>
            <w:tcBorders>
              <w:bottom w:val="single" w:sz="4" w:space="0" w:color="auto"/>
            </w:tcBorders>
            <w:noWrap/>
            <w:vAlign w:val="bottom"/>
          </w:tcPr>
          <w:p w:rsidR="00A00479" w:rsidRPr="00D77D66" w:rsidRDefault="00A00479" w:rsidP="00542B59">
            <w:pPr>
              <w:spacing w:line="360" w:lineRule="auto"/>
              <w:jc w:val="center"/>
              <w:rPr>
                <w:rFonts w:eastAsia="Times New Roman"/>
                <w:color w:val="000000"/>
                <w:lang w:eastAsia="en-GB"/>
              </w:rPr>
            </w:pPr>
            <w:r w:rsidRPr="00D77D66">
              <w:rPr>
                <w:rFonts w:eastAsia="Times New Roman"/>
                <w:color w:val="000000"/>
                <w:lang w:eastAsia="en-GB"/>
              </w:rPr>
              <w:t>19.12</w:t>
            </w:r>
            <w:r>
              <w:rPr>
                <w:rFonts w:eastAsia="Times New Roman"/>
                <w:color w:val="000000"/>
                <w:lang w:eastAsia="en-GB"/>
              </w:rPr>
              <w:t xml:space="preserve"> (</w:t>
            </w:r>
            <w:r w:rsidRPr="00D77D66">
              <w:rPr>
                <w:rFonts w:eastAsia="Times New Roman"/>
                <w:color w:val="000000"/>
                <w:lang w:eastAsia="en-GB"/>
              </w:rPr>
              <w:t>16.0</w:t>
            </w:r>
            <w:r>
              <w:rPr>
                <w:rFonts w:eastAsia="Times New Roman"/>
                <w:color w:val="000000"/>
                <w:lang w:eastAsia="en-GB"/>
              </w:rPr>
              <w:t>3)</w:t>
            </w:r>
          </w:p>
        </w:tc>
      </w:tr>
      <w:tr w:rsidR="00A00479" w:rsidRPr="00D77D66" w:rsidTr="007561EF">
        <w:trPr>
          <w:trHeight w:val="302"/>
        </w:trPr>
        <w:tc>
          <w:tcPr>
            <w:tcW w:w="9539" w:type="dxa"/>
            <w:gridSpan w:val="3"/>
            <w:tcBorders>
              <w:top w:val="single" w:sz="4" w:space="0" w:color="auto"/>
              <w:bottom w:val="single" w:sz="4" w:space="0" w:color="auto"/>
            </w:tcBorders>
            <w:noWrap/>
            <w:vAlign w:val="bottom"/>
          </w:tcPr>
          <w:p w:rsidR="00A00479" w:rsidRPr="00E01865" w:rsidRDefault="00A00479" w:rsidP="00556EDD">
            <w:pPr>
              <w:jc w:val="both"/>
              <w:rPr>
                <w:rFonts w:eastAsia="Times New Roman"/>
                <w:i/>
                <w:color w:val="000000"/>
                <w:lang w:eastAsia="en-GB"/>
              </w:rPr>
            </w:pPr>
            <w:r w:rsidRPr="00E01865">
              <w:rPr>
                <w:b/>
                <w:i/>
                <w:sz w:val="22"/>
                <w:szCs w:val="22"/>
              </w:rPr>
              <w:t xml:space="preserve">Note: </w:t>
            </w:r>
            <w:r w:rsidRPr="00E01865">
              <w:rPr>
                <w:i/>
                <w:sz w:val="22"/>
                <w:szCs w:val="22"/>
              </w:rPr>
              <w:t xml:space="preserve">The number of cases for the external-foreign (internal-foreign) firms is 43 (17). Mean values are presented. Standard deviation is in parentheses. </w:t>
            </w:r>
          </w:p>
        </w:tc>
      </w:tr>
    </w:tbl>
    <w:p w:rsidR="00A00479" w:rsidRDefault="00A00479" w:rsidP="00556EDD">
      <w:pPr>
        <w:jc w:val="both"/>
      </w:pPr>
    </w:p>
    <w:p w:rsidR="00AB0717" w:rsidRDefault="00AB0717" w:rsidP="00556EDD">
      <w:pPr>
        <w:spacing w:line="360" w:lineRule="auto"/>
        <w:jc w:val="both"/>
      </w:pPr>
    </w:p>
    <w:p w:rsidR="00A00479" w:rsidRPr="00D92694" w:rsidRDefault="00A00479" w:rsidP="00556EDD">
      <w:pPr>
        <w:spacing w:line="360" w:lineRule="auto"/>
        <w:jc w:val="both"/>
      </w:pPr>
      <w:r>
        <w:t xml:space="preserve">From </w:t>
      </w:r>
      <w:r w:rsidR="00E01865">
        <w:t>a</w:t>
      </w:r>
      <w:r>
        <w:t xml:space="preserve"> policy perspective, results show that for </w:t>
      </w:r>
      <w:r w:rsidRPr="00D92694">
        <w:t xml:space="preserve">the Indian government </w:t>
      </w:r>
      <w:r>
        <w:t>to b</w:t>
      </w:r>
      <w:r w:rsidR="00E01865">
        <w:t>e able to support its exporters</w:t>
      </w:r>
      <w:r>
        <w:t xml:space="preserve"> it is crucial to address </w:t>
      </w:r>
      <w:r w:rsidRPr="00D92694">
        <w:t>the external-foreign barriers face</w:t>
      </w:r>
      <w:r>
        <w:t xml:space="preserve">d by Indian exporters within ongoing negotiations. Steps to </w:t>
      </w:r>
      <w:r w:rsidRPr="00D92694">
        <w:t>ameliorat</w:t>
      </w:r>
      <w:r>
        <w:t>e</w:t>
      </w:r>
      <w:r w:rsidRPr="00D92694">
        <w:t xml:space="preserve"> internal</w:t>
      </w:r>
      <w:r>
        <w:t>-</w:t>
      </w:r>
      <w:r w:rsidRPr="00D92694">
        <w:t xml:space="preserve">foreign barriers </w:t>
      </w:r>
      <w:r>
        <w:t xml:space="preserve">are equally vital and are addressed in the following section. </w:t>
      </w:r>
    </w:p>
    <w:p w:rsidR="00A00479" w:rsidRPr="00D92694" w:rsidRDefault="00A00479" w:rsidP="00D92694">
      <w:pPr>
        <w:pStyle w:val="Caption"/>
        <w:keepNext/>
        <w:spacing w:line="360" w:lineRule="auto"/>
        <w:jc w:val="both"/>
        <w:rPr>
          <w:sz w:val="24"/>
          <w:szCs w:val="24"/>
        </w:rPr>
      </w:pPr>
    </w:p>
    <w:p w:rsidR="00A00479" w:rsidRPr="00D92694" w:rsidRDefault="00A00479" w:rsidP="00B47F93">
      <w:pPr>
        <w:pStyle w:val="Heading2"/>
        <w:numPr>
          <w:ilvl w:val="0"/>
          <w:numId w:val="5"/>
        </w:numPr>
        <w:spacing w:line="360" w:lineRule="auto"/>
        <w:jc w:val="both"/>
        <w:rPr>
          <w:rFonts w:ascii="Times New Roman" w:hAnsi="Times New Roman" w:cs="Times New Roman"/>
        </w:rPr>
      </w:pPr>
      <w:r w:rsidRPr="00D92694">
        <w:rPr>
          <w:rFonts w:ascii="Times New Roman" w:hAnsi="Times New Roman" w:cs="Times New Roman"/>
        </w:rPr>
        <w:t xml:space="preserve">Conclusions and </w:t>
      </w:r>
      <w:r>
        <w:rPr>
          <w:rFonts w:ascii="Times New Roman" w:hAnsi="Times New Roman" w:cs="Times New Roman"/>
        </w:rPr>
        <w:t xml:space="preserve">policy </w:t>
      </w:r>
      <w:r w:rsidRPr="00D92694">
        <w:rPr>
          <w:rFonts w:ascii="Times New Roman" w:hAnsi="Times New Roman" w:cs="Times New Roman"/>
        </w:rPr>
        <w:t>implications</w:t>
      </w:r>
    </w:p>
    <w:p w:rsidR="001816AC" w:rsidRDefault="00A00479" w:rsidP="00963FAE">
      <w:pPr>
        <w:spacing w:line="360" w:lineRule="auto"/>
        <w:jc w:val="both"/>
      </w:pPr>
      <w:r>
        <w:t>This study contributes to the limited literature on problems that impede</w:t>
      </w:r>
      <w:r w:rsidRPr="00D92694">
        <w:t xml:space="preserve"> </w:t>
      </w:r>
      <w:r>
        <w:t xml:space="preserve">leather and footwear as well as textile and clothing </w:t>
      </w:r>
      <w:r w:rsidRPr="00D92694">
        <w:t xml:space="preserve">exports </w:t>
      </w:r>
      <w:r>
        <w:t xml:space="preserve">from India </w:t>
      </w:r>
      <w:r w:rsidRPr="00D92694">
        <w:t>to the EU.</w:t>
      </w:r>
      <w:r>
        <w:t xml:space="preserve"> The main focus of this paper is identifying </w:t>
      </w:r>
      <w:r w:rsidR="00E01865">
        <w:t xml:space="preserve">export </w:t>
      </w:r>
      <w:r>
        <w:t xml:space="preserve">problems </w:t>
      </w:r>
      <w:r w:rsidR="00E01865">
        <w:t>and strategy-orientation of</w:t>
      </w:r>
      <w:r>
        <w:t xml:space="preserve"> Indian </w:t>
      </w:r>
      <w:r w:rsidR="00E01865">
        <w:t xml:space="preserve">firms </w:t>
      </w:r>
      <w:r>
        <w:t>export</w:t>
      </w:r>
      <w:r w:rsidR="00E01865">
        <w:t>ing</w:t>
      </w:r>
      <w:r>
        <w:t xml:space="preserve"> in the </w:t>
      </w:r>
      <w:r w:rsidR="00AB0717">
        <w:t xml:space="preserve">present </w:t>
      </w:r>
      <w:r>
        <w:t>EU</w:t>
      </w:r>
      <w:r w:rsidR="00E01865">
        <w:t>-India business environment</w:t>
      </w:r>
      <w:r>
        <w:t xml:space="preserve">. </w:t>
      </w:r>
      <w:r>
        <w:rPr>
          <w:color w:val="000000"/>
        </w:rPr>
        <w:t>The</w:t>
      </w:r>
      <w:r w:rsidR="00E01865">
        <w:rPr>
          <w:color w:val="000000"/>
        </w:rPr>
        <w:t>r</w:t>
      </w:r>
      <w:r>
        <w:rPr>
          <w:color w:val="000000"/>
        </w:rPr>
        <w:t xml:space="preserve">e </w:t>
      </w:r>
      <w:r w:rsidR="00E01865">
        <w:rPr>
          <w:color w:val="000000"/>
        </w:rPr>
        <w:t xml:space="preserve">are </w:t>
      </w:r>
      <w:r>
        <w:rPr>
          <w:color w:val="000000"/>
        </w:rPr>
        <w:t>policy implications as the statistical results show firms react differently to export problems</w:t>
      </w:r>
      <w:r w:rsidR="00AB0717">
        <w:rPr>
          <w:color w:val="000000"/>
        </w:rPr>
        <w:t xml:space="preserve">. </w:t>
      </w:r>
      <w:r w:rsidRPr="00D2075F">
        <w:t>The results reveal Indian exporters cluster their perceptions</w:t>
      </w:r>
      <w:r w:rsidRPr="00963FAE">
        <w:t xml:space="preserve"> </w:t>
      </w:r>
      <w:r w:rsidRPr="00D2075F">
        <w:t xml:space="preserve">implicitly around external-foreign and internal-foreign and their strategic priorities. A large majority of exporters prioritise external-foreign problems </w:t>
      </w:r>
      <w:r w:rsidR="001816AC">
        <w:t xml:space="preserve">with </w:t>
      </w:r>
      <w:r w:rsidRPr="00D2075F">
        <w:t xml:space="preserve">only </w:t>
      </w:r>
      <w:r w:rsidR="001816AC">
        <w:t>a few</w:t>
      </w:r>
      <w:r w:rsidRPr="00D2075F">
        <w:t xml:space="preserve"> focus</w:t>
      </w:r>
      <w:r w:rsidR="001816AC">
        <w:t>sing</w:t>
      </w:r>
      <w:r w:rsidRPr="00D2075F">
        <w:t xml:space="preserve"> on addressing internal-foreign problems. </w:t>
      </w:r>
      <w:r>
        <w:t>T</w:t>
      </w:r>
      <w:r w:rsidRPr="00D92694">
        <w:t>o ensure</w:t>
      </w:r>
      <w:r>
        <w:t xml:space="preserve"> </w:t>
      </w:r>
      <w:r w:rsidRPr="00D92694">
        <w:t xml:space="preserve">that benefits of the proposed agreement are reaped by </w:t>
      </w:r>
      <w:r w:rsidR="001816AC">
        <w:t xml:space="preserve">Indian </w:t>
      </w:r>
      <w:r w:rsidRPr="00D92694">
        <w:t>exporters it is important</w:t>
      </w:r>
      <w:r>
        <w:t xml:space="preserve"> </w:t>
      </w:r>
      <w:r w:rsidRPr="00D92694">
        <w:t xml:space="preserve">that policy </w:t>
      </w:r>
      <w:r w:rsidR="001816AC" w:rsidRPr="00D92694">
        <w:t xml:space="preserve">at the micro level </w:t>
      </w:r>
      <w:r w:rsidRPr="00D92694">
        <w:t xml:space="preserve">be tailored to the specific needs of </w:t>
      </w:r>
      <w:r w:rsidR="001816AC">
        <w:t xml:space="preserve">small and medium </w:t>
      </w:r>
      <w:r w:rsidRPr="00D92694">
        <w:t>exporte</w:t>
      </w:r>
      <w:r>
        <w:t>rs</w:t>
      </w:r>
      <w:r w:rsidRPr="00D92694">
        <w:t>.</w:t>
      </w:r>
      <w:r w:rsidR="001816AC">
        <w:t xml:space="preserve"> </w:t>
      </w:r>
    </w:p>
    <w:p w:rsidR="00D053DE" w:rsidRDefault="00D053DE" w:rsidP="00D053DE">
      <w:pPr>
        <w:spacing w:line="360" w:lineRule="auto"/>
        <w:jc w:val="both"/>
      </w:pPr>
    </w:p>
    <w:p w:rsidR="00D053DE" w:rsidRDefault="00AB0717" w:rsidP="00D053DE">
      <w:pPr>
        <w:shd w:val="clear" w:color="auto" w:fill="FFFFFF"/>
        <w:autoSpaceDE w:val="0"/>
        <w:autoSpaceDN w:val="0"/>
        <w:adjustRightInd w:val="0"/>
        <w:spacing w:line="360" w:lineRule="auto"/>
        <w:jc w:val="both"/>
      </w:pPr>
      <w:r>
        <w:rPr>
          <w:color w:val="000000"/>
        </w:rPr>
        <w:t>G</w:t>
      </w:r>
      <w:r>
        <w:t>iven the proposed FTA aims to enhance market access for partner countries identifying export problems and addressing these are of particular importance</w:t>
      </w:r>
      <w:r w:rsidRPr="00963FAE">
        <w:t xml:space="preserve"> </w:t>
      </w:r>
      <w:r>
        <w:t xml:space="preserve">from the perspective of Indian exporters. </w:t>
      </w:r>
      <w:r w:rsidR="00D053DE">
        <w:t>The Indian government can address external-foreign problems by prioritising these as negotiating issues in the ongoing FTA talks. To address the problem of regulatory divergence between the EU and India</w:t>
      </w:r>
      <w:r>
        <w:t>,</w:t>
      </w:r>
      <w:r w:rsidR="00D053DE">
        <w:t xml:space="preserve"> </w:t>
      </w:r>
      <w:r w:rsidR="00D053DE" w:rsidRPr="0097556A">
        <w:rPr>
          <w:rFonts w:eastAsia="Times New Roman"/>
        </w:rPr>
        <w:t>pre-standard-setting harmonisation</w:t>
      </w:r>
      <w:r w:rsidR="00D053DE">
        <w:rPr>
          <w:rFonts w:eastAsia="Times New Roman"/>
        </w:rPr>
        <w:t xml:space="preserve"> is suggested</w:t>
      </w:r>
      <w:r w:rsidR="00D053DE">
        <w:t xml:space="preserve"> i</w:t>
      </w:r>
      <w:r w:rsidR="00D053DE" w:rsidRPr="005A5593">
        <w:t>n the immediate short term</w:t>
      </w:r>
      <w:r w:rsidR="00D053DE" w:rsidRPr="0097556A">
        <w:rPr>
          <w:rFonts w:eastAsia="Times New Roman"/>
        </w:rPr>
        <w:t>.</w:t>
      </w:r>
      <w:r w:rsidR="00D053DE" w:rsidRPr="005A5593">
        <w:rPr>
          <w:rFonts w:eastAsia="Times New Roman"/>
        </w:rPr>
        <w:t xml:space="preserve"> As a first step, this will involve an identification of </w:t>
      </w:r>
      <w:r w:rsidR="00D053DE">
        <w:rPr>
          <w:rFonts w:eastAsia="Times New Roman"/>
        </w:rPr>
        <w:t>all</w:t>
      </w:r>
      <w:r w:rsidR="00D053DE" w:rsidRPr="005A5593">
        <w:rPr>
          <w:rFonts w:eastAsia="Times New Roman"/>
        </w:rPr>
        <w:t xml:space="preserve"> products for which minimum </w:t>
      </w:r>
      <w:r w:rsidR="00D053DE">
        <w:rPr>
          <w:rFonts w:eastAsia="Times New Roman"/>
        </w:rPr>
        <w:t xml:space="preserve">(rather </w:t>
      </w:r>
      <w:r w:rsidR="00D053DE" w:rsidRPr="005A5593">
        <w:rPr>
          <w:rFonts w:eastAsia="Times New Roman"/>
        </w:rPr>
        <w:t>than higher</w:t>
      </w:r>
      <w:r w:rsidR="00D053DE">
        <w:rPr>
          <w:rFonts w:eastAsia="Times New Roman"/>
        </w:rPr>
        <w:t>)</w:t>
      </w:r>
      <w:r w:rsidR="00D053DE" w:rsidRPr="005A5593">
        <w:rPr>
          <w:rFonts w:eastAsia="Times New Roman"/>
        </w:rPr>
        <w:t xml:space="preserve"> standards and regulations are imposed by the </w:t>
      </w:r>
      <w:r w:rsidR="00D053DE">
        <w:rPr>
          <w:rFonts w:eastAsia="Times New Roman"/>
        </w:rPr>
        <w:t>EU</w:t>
      </w:r>
      <w:r w:rsidR="00D053DE" w:rsidRPr="005A5593">
        <w:rPr>
          <w:rFonts w:eastAsia="Times New Roman"/>
        </w:rPr>
        <w:t xml:space="preserve"> buyers. Information dissemination among Indian </w:t>
      </w:r>
      <w:r w:rsidR="00D053DE">
        <w:rPr>
          <w:rFonts w:eastAsia="Times New Roman"/>
        </w:rPr>
        <w:t>exporters is necessary on</w:t>
      </w:r>
      <w:r w:rsidR="00D053DE" w:rsidRPr="005A5593">
        <w:rPr>
          <w:rFonts w:eastAsia="Times New Roman"/>
        </w:rPr>
        <w:t xml:space="preserve"> mandatory technical standards</w:t>
      </w:r>
      <w:r w:rsidR="00D053DE">
        <w:rPr>
          <w:rFonts w:eastAsia="Times New Roman"/>
        </w:rPr>
        <w:t xml:space="preserve"> and</w:t>
      </w:r>
      <w:r w:rsidR="00D053DE" w:rsidRPr="005A5593">
        <w:rPr>
          <w:rFonts w:eastAsia="Times New Roman"/>
        </w:rPr>
        <w:t xml:space="preserve"> regulations. Second, no</w:t>
      </w:r>
      <w:r w:rsidR="00D053DE" w:rsidRPr="005A5593">
        <w:t xml:space="preserve">tifications on voluntary standards </w:t>
      </w:r>
      <w:r w:rsidR="00D053DE">
        <w:t xml:space="preserve">are required to </w:t>
      </w:r>
      <w:r w:rsidR="00D053DE" w:rsidRPr="005A5593">
        <w:t xml:space="preserve">provide exporters with necessary additional </w:t>
      </w:r>
      <w:r w:rsidR="00D053DE" w:rsidRPr="005A5593">
        <w:lastRenderedPageBreak/>
        <w:t xml:space="preserve">compliance information. We </w:t>
      </w:r>
      <w:r w:rsidR="00D053DE">
        <w:t>propose</w:t>
      </w:r>
      <w:r w:rsidR="00D053DE" w:rsidRPr="005A5593">
        <w:t xml:space="preserve"> a collaborative approach </w:t>
      </w:r>
      <w:r w:rsidR="00D053DE">
        <w:t xml:space="preserve">between the EU </w:t>
      </w:r>
      <w:r w:rsidR="00D053DE" w:rsidRPr="005A5593">
        <w:t xml:space="preserve">and India to pre-standard setting harmonisation so that information on </w:t>
      </w:r>
      <w:r w:rsidR="00D053DE">
        <w:rPr>
          <w:rFonts w:eastAsia="Times New Roman"/>
        </w:rPr>
        <w:t>technical</w:t>
      </w:r>
      <w:r w:rsidR="00D053DE" w:rsidRPr="005A5593">
        <w:rPr>
          <w:rFonts w:eastAsia="Times New Roman"/>
        </w:rPr>
        <w:t xml:space="preserve"> standards</w:t>
      </w:r>
      <w:r w:rsidR="00D053DE">
        <w:rPr>
          <w:rFonts w:eastAsia="Times New Roman"/>
        </w:rPr>
        <w:t xml:space="preserve"> and </w:t>
      </w:r>
      <w:r w:rsidR="00D053DE" w:rsidRPr="005A5593">
        <w:rPr>
          <w:rFonts w:eastAsia="Times New Roman"/>
        </w:rPr>
        <w:t>regulations</w:t>
      </w:r>
      <w:r w:rsidR="00D053DE" w:rsidRPr="005A5593">
        <w:t xml:space="preserve"> is updated. T</w:t>
      </w:r>
      <w:r w:rsidR="00D053DE" w:rsidRPr="005A5593">
        <w:rPr>
          <w:rFonts w:eastAsia="Times New Roman"/>
        </w:rPr>
        <w:t xml:space="preserve">he Indian government should complement this approach with domestic </w:t>
      </w:r>
      <w:r w:rsidR="00D053DE">
        <w:rPr>
          <w:rFonts w:eastAsia="Times New Roman"/>
        </w:rPr>
        <w:t xml:space="preserve">support </w:t>
      </w:r>
      <w:r w:rsidR="00D053DE" w:rsidRPr="005A5593">
        <w:rPr>
          <w:rFonts w:eastAsia="Times New Roman"/>
        </w:rPr>
        <w:t>measures to build</w:t>
      </w:r>
      <w:r w:rsidR="00D053DE">
        <w:rPr>
          <w:rFonts w:eastAsia="Times New Roman"/>
        </w:rPr>
        <w:t xml:space="preserve"> up </w:t>
      </w:r>
      <w:r w:rsidR="00D053DE" w:rsidRPr="005A5593">
        <w:rPr>
          <w:rFonts w:eastAsia="Times New Roman"/>
        </w:rPr>
        <w:t>domestic industry</w:t>
      </w:r>
      <w:r w:rsidR="00D053DE" w:rsidRPr="00AC7C76">
        <w:rPr>
          <w:rFonts w:eastAsia="Times New Roman"/>
        </w:rPr>
        <w:t xml:space="preserve"> </w:t>
      </w:r>
      <w:r w:rsidR="00D053DE" w:rsidRPr="005A5593">
        <w:rPr>
          <w:rFonts w:eastAsia="Times New Roman"/>
        </w:rPr>
        <w:t>capacity.</w:t>
      </w:r>
      <w:r w:rsidR="00D053DE">
        <w:rPr>
          <w:rFonts w:eastAsia="Times New Roman"/>
        </w:rPr>
        <w:t xml:space="preserve"> </w:t>
      </w:r>
      <w:r w:rsidR="00D053DE" w:rsidRPr="005A5593">
        <w:t xml:space="preserve">In the medium term, a </w:t>
      </w:r>
      <w:r w:rsidR="00D053DE" w:rsidRPr="0097556A">
        <w:t>phased approach to regulatory harmonisation</w:t>
      </w:r>
      <w:r w:rsidR="00D053DE" w:rsidRPr="005A5593">
        <w:t xml:space="preserve"> is proposed. Harmonisation of </w:t>
      </w:r>
      <w:r w:rsidR="00D053DE">
        <w:t xml:space="preserve">the </w:t>
      </w:r>
      <w:r w:rsidR="00D053DE" w:rsidRPr="005A5593">
        <w:t>regulatory regime</w:t>
      </w:r>
      <w:r w:rsidR="00D053DE">
        <w:t>s</w:t>
      </w:r>
      <w:r w:rsidR="00D053DE" w:rsidRPr="005A5593">
        <w:t xml:space="preserve"> is proposed </w:t>
      </w:r>
      <w:r w:rsidR="00D053DE">
        <w:t xml:space="preserve">to be carried out </w:t>
      </w:r>
      <w:r w:rsidR="00D053DE" w:rsidRPr="005A5593">
        <w:t xml:space="preserve">in three steps: design; notification; and, enforcement of regulations and standards. To achieve the objective of harmonisation (i.e. </w:t>
      </w:r>
      <w:r w:rsidR="00D053DE" w:rsidRPr="005A5593">
        <w:rPr>
          <w:rFonts w:eastAsia="Times New Roman"/>
        </w:rPr>
        <w:t>standards, testing and certification, labelling and packaging regulations)</w:t>
      </w:r>
      <w:r w:rsidR="00D053DE" w:rsidRPr="005A5593">
        <w:t xml:space="preserve"> we propose that </w:t>
      </w:r>
      <w:r w:rsidR="00D053DE" w:rsidRPr="005A5593">
        <w:rPr>
          <w:rFonts w:eastAsia="Times New Roman"/>
        </w:rPr>
        <w:t xml:space="preserve">modalities should provide for </w:t>
      </w:r>
      <w:r w:rsidR="00D053DE" w:rsidRPr="005A5593">
        <w:t xml:space="preserve">consultations with </w:t>
      </w:r>
      <w:r w:rsidR="00D053DE">
        <w:t>exporters</w:t>
      </w:r>
      <w:r>
        <w:t xml:space="preserve"> being</w:t>
      </w:r>
      <w:r w:rsidR="00D053DE">
        <w:t xml:space="preserve"> the affected</w:t>
      </w:r>
      <w:r w:rsidR="00D053DE" w:rsidRPr="005A5593">
        <w:t xml:space="preserve"> part</w:t>
      </w:r>
      <w:r w:rsidR="00D053DE">
        <w:t>y. In the long term, h</w:t>
      </w:r>
      <w:r w:rsidR="00D053DE" w:rsidRPr="005A5593">
        <w:t xml:space="preserve">armonisation and regulatory convergence </w:t>
      </w:r>
      <w:r w:rsidR="00D053DE">
        <w:t>needs</w:t>
      </w:r>
      <w:r w:rsidR="00D053DE" w:rsidRPr="005A5593">
        <w:t xml:space="preserve"> be achieved with technology transfer. Technical transfer and up-grad</w:t>
      </w:r>
      <w:r w:rsidR="00D053DE">
        <w:t>ing</w:t>
      </w:r>
      <w:r w:rsidR="00D053DE" w:rsidRPr="005A5593">
        <w:t xml:space="preserve"> of technology in small scale and medium sized </w:t>
      </w:r>
      <w:r w:rsidR="00D053DE">
        <w:t>firms</w:t>
      </w:r>
      <w:r w:rsidR="00D053DE" w:rsidRPr="005A5593">
        <w:t xml:space="preserve"> will help exporters gain access to technology managerial skills, marketing and equipment. </w:t>
      </w:r>
      <w:r w:rsidR="00D053DE">
        <w:t>Improvements in t</w:t>
      </w:r>
      <w:r w:rsidR="00D053DE" w:rsidRPr="005A5593">
        <w:t xml:space="preserve">echnology </w:t>
      </w:r>
      <w:r w:rsidR="00D053DE">
        <w:t xml:space="preserve">are </w:t>
      </w:r>
      <w:r w:rsidR="00D053DE" w:rsidRPr="005A5593">
        <w:t xml:space="preserve">also critical to enable the small and new exporting firms to implement buyer specific technical regulations. </w:t>
      </w:r>
      <w:r w:rsidR="00D053DE">
        <w:t xml:space="preserve">In addition, </w:t>
      </w:r>
      <w:r w:rsidR="002863D8">
        <w:t xml:space="preserve">necessary steps are required to reduce the existing administrative documentation formalities that manifest as a problem for exporters. </w:t>
      </w:r>
    </w:p>
    <w:p w:rsidR="00D053DE" w:rsidRDefault="00D053DE" w:rsidP="00963FAE">
      <w:pPr>
        <w:spacing w:line="360" w:lineRule="auto"/>
        <w:jc w:val="both"/>
        <w:rPr>
          <w:lang w:eastAsia="en-IN"/>
        </w:rPr>
      </w:pPr>
    </w:p>
    <w:p w:rsidR="00A00479" w:rsidRDefault="00A00479" w:rsidP="00963FAE">
      <w:pPr>
        <w:spacing w:line="360" w:lineRule="auto"/>
        <w:jc w:val="both"/>
      </w:pPr>
      <w:r w:rsidRPr="005A5593">
        <w:rPr>
          <w:lang w:eastAsia="en-IN"/>
        </w:rPr>
        <w:t xml:space="preserve">From a trade policy perspective, </w:t>
      </w:r>
      <w:r w:rsidR="00D053DE">
        <w:rPr>
          <w:lang w:eastAsia="en-IN"/>
        </w:rPr>
        <w:t xml:space="preserve">internal-foreign problems need to be tackled by the Indian government to ensure </w:t>
      </w:r>
      <w:r w:rsidRPr="005A5593">
        <w:rPr>
          <w:lang w:eastAsia="en-IN"/>
        </w:rPr>
        <w:t>efficiency in transportation, telecommunications</w:t>
      </w:r>
      <w:r>
        <w:rPr>
          <w:lang w:eastAsia="en-IN"/>
        </w:rPr>
        <w:t xml:space="preserve"> </w:t>
      </w:r>
      <w:r w:rsidRPr="005A5593">
        <w:rPr>
          <w:lang w:eastAsia="en-IN"/>
        </w:rPr>
        <w:t xml:space="preserve">and electricity </w:t>
      </w:r>
      <w:r w:rsidR="00D053DE">
        <w:rPr>
          <w:lang w:eastAsia="en-IN"/>
        </w:rPr>
        <w:t xml:space="preserve">as this </w:t>
      </w:r>
      <w:r w:rsidR="00D053DE">
        <w:t>will lead to a positive spill</w:t>
      </w:r>
      <w:r w:rsidR="00D053DE" w:rsidRPr="005A5593">
        <w:t xml:space="preserve"> over</w:t>
      </w:r>
      <w:r w:rsidRPr="005A5593">
        <w:t xml:space="preserve"> </w:t>
      </w:r>
      <w:r w:rsidR="00AB0717">
        <w:t xml:space="preserve">effect </w:t>
      </w:r>
      <w:r w:rsidRPr="005A5593">
        <w:t>on the economy</w:t>
      </w:r>
      <w:r w:rsidRPr="005A5593">
        <w:rPr>
          <w:lang w:eastAsia="en-IN"/>
        </w:rPr>
        <w:t xml:space="preserve">. Firstly, it will </w:t>
      </w:r>
      <w:r w:rsidRPr="005A5593">
        <w:t>reduce overall transit time</w:t>
      </w:r>
      <w:r w:rsidRPr="005A5593">
        <w:rPr>
          <w:lang w:eastAsia="en-IN"/>
        </w:rPr>
        <w:t xml:space="preserve"> </w:t>
      </w:r>
      <w:r>
        <w:rPr>
          <w:lang w:eastAsia="en-IN"/>
        </w:rPr>
        <w:t>which</w:t>
      </w:r>
      <w:r w:rsidRPr="005A5593">
        <w:rPr>
          <w:lang w:eastAsia="en-IN"/>
        </w:rPr>
        <w:t xml:space="preserve"> will allow exporters to produce within lower lead production time</w:t>
      </w:r>
      <w:r>
        <w:rPr>
          <w:lang w:eastAsia="en-IN"/>
        </w:rPr>
        <w:t>. S</w:t>
      </w:r>
      <w:r w:rsidRPr="005A5593">
        <w:rPr>
          <w:lang w:eastAsia="en-IN"/>
        </w:rPr>
        <w:t xml:space="preserve">econdly, an efficient infrastructural framework will help exporters </w:t>
      </w:r>
      <w:r>
        <w:rPr>
          <w:lang w:eastAsia="en-IN"/>
        </w:rPr>
        <w:t xml:space="preserve">to </w:t>
      </w:r>
      <w:r w:rsidRPr="005A5593">
        <w:rPr>
          <w:lang w:eastAsia="en-IN"/>
        </w:rPr>
        <w:t xml:space="preserve">exercise effective control over all elements of the supply chain. A reliable infrastructure will, therefore, confer a competitive edge </w:t>
      </w:r>
      <w:r>
        <w:rPr>
          <w:lang w:eastAsia="en-IN"/>
        </w:rPr>
        <w:t xml:space="preserve">on </w:t>
      </w:r>
      <w:r w:rsidRPr="005A5593">
        <w:rPr>
          <w:lang w:eastAsia="en-IN"/>
        </w:rPr>
        <w:t>the Indian exporters. An important way forward to address the infrastructure constraint is to a</w:t>
      </w:r>
      <w:r w:rsidRPr="005A5593">
        <w:rPr>
          <w:rFonts w:eastAsia="Times New Roman"/>
          <w:lang w:eastAsia="en-IN"/>
        </w:rPr>
        <w:t xml:space="preserve">ugment the existing infrastructure and create </w:t>
      </w:r>
      <w:r w:rsidRPr="005A5593">
        <w:t>sustainable infrastructural linkages.</w:t>
      </w:r>
      <w:r>
        <w:t xml:space="preserve"> Besides, </w:t>
      </w:r>
      <w:r w:rsidRPr="005A5593">
        <w:t>active labour market programmes and policies</w:t>
      </w:r>
      <w:r w:rsidRPr="005A5593">
        <w:rPr>
          <w:rStyle w:val="FootnoteReference"/>
        </w:rPr>
        <w:footnoteReference w:id="11"/>
      </w:r>
      <w:r w:rsidRPr="005A5593">
        <w:t xml:space="preserve"> (ALMPs) need to be strengthened. To make the labour market dynamic we sugge</w:t>
      </w:r>
      <w:r>
        <w:t>st providing for more technical,</w:t>
      </w:r>
      <w:r w:rsidRPr="005A5593">
        <w:t xml:space="preserve"> vocational education programs</w:t>
      </w:r>
      <w:r>
        <w:t xml:space="preserve"> and </w:t>
      </w:r>
      <w:r w:rsidRPr="005A5593">
        <w:t>have dynamically functioning employment exchanges</w:t>
      </w:r>
      <w:r>
        <w:t xml:space="preserve">. </w:t>
      </w:r>
    </w:p>
    <w:p w:rsidR="00A00479" w:rsidRDefault="00A00479" w:rsidP="0097556A">
      <w:pPr>
        <w:shd w:val="clear" w:color="auto" w:fill="FFFFFF"/>
        <w:autoSpaceDE w:val="0"/>
        <w:autoSpaceDN w:val="0"/>
        <w:adjustRightInd w:val="0"/>
        <w:spacing w:line="360" w:lineRule="auto"/>
        <w:jc w:val="both"/>
      </w:pPr>
    </w:p>
    <w:p w:rsidR="00A00479" w:rsidRPr="000A1DC8" w:rsidRDefault="00A00479" w:rsidP="0097556A">
      <w:pPr>
        <w:shd w:val="clear" w:color="auto" w:fill="FFFFFF"/>
        <w:autoSpaceDE w:val="0"/>
        <w:autoSpaceDN w:val="0"/>
        <w:adjustRightInd w:val="0"/>
        <w:spacing w:line="360" w:lineRule="auto"/>
        <w:jc w:val="both"/>
        <w:rPr>
          <w:b/>
        </w:rPr>
      </w:pPr>
      <w:r>
        <w:lastRenderedPageBreak/>
        <w:t>Broad policy implications suggest that the</w:t>
      </w:r>
      <w:r w:rsidRPr="005A5593">
        <w:t xml:space="preserve"> Indian government</w:t>
      </w:r>
      <w:r>
        <w:t>,</w:t>
      </w:r>
      <w:r w:rsidRPr="005A5593">
        <w:t xml:space="preserve"> </w:t>
      </w:r>
      <w:r>
        <w:t xml:space="preserve">should </w:t>
      </w:r>
      <w:r w:rsidRPr="005A5593">
        <w:t>in collaboration with the EU</w:t>
      </w:r>
      <w:r>
        <w:t xml:space="preserve">, </w:t>
      </w:r>
      <w:r w:rsidRPr="005A5593">
        <w:t>aim for an overall technical up-grad</w:t>
      </w:r>
      <w:r>
        <w:t>ing</w:t>
      </w:r>
      <w:r w:rsidRPr="005A5593">
        <w:t xml:space="preserve">, diffusion and modernisation of </w:t>
      </w:r>
      <w:r>
        <w:t xml:space="preserve">production </w:t>
      </w:r>
      <w:r w:rsidRPr="005A5593">
        <w:t xml:space="preserve">processes. </w:t>
      </w:r>
      <w:r>
        <w:t>E</w:t>
      </w:r>
      <w:r w:rsidRPr="005A5593">
        <w:t xml:space="preserve">fforts should focus </w:t>
      </w:r>
      <w:r>
        <w:t xml:space="preserve">specifically </w:t>
      </w:r>
      <w:r w:rsidRPr="005A5593">
        <w:t xml:space="preserve">on cleaner process technologies, reducing effluents by promoting the use of eco-friendly chemicals and minimising waste. </w:t>
      </w:r>
      <w:r>
        <w:t xml:space="preserve">To conclude, </w:t>
      </w:r>
      <w:r w:rsidRPr="001B7244">
        <w:t xml:space="preserve">differences in </w:t>
      </w:r>
      <w:r>
        <w:t xml:space="preserve">existing </w:t>
      </w:r>
      <w:r w:rsidRPr="001B7244">
        <w:t>regulatory regimes across the EU and India</w:t>
      </w:r>
      <w:r>
        <w:t xml:space="preserve"> should be addressed through the ongoing nego</w:t>
      </w:r>
      <w:r w:rsidR="002863D8">
        <w:t xml:space="preserve">tiations. The Indian government, however, </w:t>
      </w:r>
      <w:r>
        <w:t xml:space="preserve">needs to complement these measures by taking steps to address domestic problems that impact adversely on exports. </w:t>
      </w:r>
    </w:p>
    <w:p w:rsidR="00A00479" w:rsidRDefault="00A00479" w:rsidP="0097556A">
      <w:pPr>
        <w:shd w:val="clear" w:color="auto" w:fill="FFFFFF"/>
        <w:autoSpaceDE w:val="0"/>
        <w:autoSpaceDN w:val="0"/>
        <w:adjustRightInd w:val="0"/>
        <w:spacing w:line="360" w:lineRule="auto"/>
        <w:jc w:val="both"/>
      </w:pPr>
    </w:p>
    <w:p w:rsidR="00A00479" w:rsidRPr="005A5593" w:rsidRDefault="002863D8" w:rsidP="0097556A">
      <w:pPr>
        <w:shd w:val="clear" w:color="auto" w:fill="FFFFFF"/>
        <w:autoSpaceDE w:val="0"/>
        <w:autoSpaceDN w:val="0"/>
        <w:adjustRightInd w:val="0"/>
        <w:spacing w:line="360" w:lineRule="auto"/>
        <w:jc w:val="both"/>
      </w:pPr>
      <w:r>
        <w:br w:type="page"/>
      </w:r>
    </w:p>
    <w:p w:rsidR="00A00479" w:rsidRPr="003A7A3C" w:rsidRDefault="00A00479" w:rsidP="003A7A3C">
      <w:pPr>
        <w:pStyle w:val="Heading1"/>
        <w:spacing w:before="0" w:after="0" w:line="360" w:lineRule="auto"/>
        <w:rPr>
          <w:rFonts w:ascii="Times New Roman" w:hAnsi="Times New Roman"/>
          <w:sz w:val="24"/>
          <w:szCs w:val="24"/>
        </w:rPr>
      </w:pPr>
      <w:r w:rsidRPr="003A7A3C">
        <w:rPr>
          <w:rFonts w:ascii="Times New Roman" w:hAnsi="Times New Roman"/>
          <w:sz w:val="24"/>
          <w:szCs w:val="24"/>
        </w:rPr>
        <w:t>Acknowledgements</w:t>
      </w:r>
    </w:p>
    <w:p w:rsidR="00A00479" w:rsidRPr="003A7A3C" w:rsidRDefault="00A00479" w:rsidP="003A7A3C">
      <w:pPr>
        <w:spacing w:line="360" w:lineRule="auto"/>
        <w:jc w:val="both"/>
      </w:pPr>
    </w:p>
    <w:p w:rsidR="00A00479" w:rsidRPr="003A7A3C" w:rsidRDefault="00A00479" w:rsidP="003A7A3C">
      <w:pPr>
        <w:spacing w:line="360" w:lineRule="auto"/>
        <w:jc w:val="both"/>
      </w:pPr>
      <w:r w:rsidRPr="003A7A3C">
        <w:t>This paper includes material researched for the project “Convergence towards Regional Integration between the EU and India: Trade Implications for the UK and India”. The authors acknowledge the funding support from the British High Commission, India. We also thank the researchers at Indian Council for International Economic Research for their research support and contribution to the final report. The views presented in this article reflect our own opinion. The authors remain solely responsible for any remaining errors or omissions.</w:t>
      </w:r>
    </w:p>
    <w:p w:rsidR="00A00479" w:rsidRPr="003A7A3C" w:rsidRDefault="00A00479" w:rsidP="003A7A3C">
      <w:pPr>
        <w:spacing w:line="360" w:lineRule="auto"/>
        <w:jc w:val="both"/>
        <w:rPr>
          <w:rFonts w:eastAsia="Times New Roman"/>
        </w:rPr>
      </w:pPr>
      <w:r w:rsidRPr="003A7A3C">
        <w:rPr>
          <w:rFonts w:eastAsia="Times New Roman"/>
        </w:rPr>
        <w:br w:type="page"/>
      </w:r>
    </w:p>
    <w:p w:rsidR="00A00479" w:rsidRPr="007703B7" w:rsidRDefault="00A00479" w:rsidP="007703B7">
      <w:pPr>
        <w:pStyle w:val="Heading2"/>
        <w:spacing w:line="360" w:lineRule="auto"/>
        <w:jc w:val="both"/>
        <w:rPr>
          <w:rStyle w:val="Heading2Char"/>
          <w:rFonts w:ascii="Times New Roman" w:hAnsi="Times New Roman"/>
          <w:b/>
          <w:i/>
        </w:rPr>
      </w:pPr>
      <w:r w:rsidRPr="007703B7">
        <w:rPr>
          <w:rStyle w:val="Heading2Char"/>
          <w:rFonts w:ascii="Times New Roman" w:hAnsi="Times New Roman"/>
          <w:b/>
          <w:i/>
        </w:rPr>
        <w:t>Reference</w:t>
      </w:r>
    </w:p>
    <w:p w:rsidR="008F614D" w:rsidRPr="008F7E81" w:rsidRDefault="008F614D" w:rsidP="00B5358F">
      <w:pPr>
        <w:autoSpaceDE w:val="0"/>
        <w:autoSpaceDN w:val="0"/>
        <w:adjustRightInd w:val="0"/>
        <w:jc w:val="both"/>
      </w:pPr>
    </w:p>
    <w:p w:rsidR="008F614D" w:rsidRPr="00BE4E40" w:rsidRDefault="008F614D" w:rsidP="00B5358F">
      <w:pPr>
        <w:autoSpaceDE w:val="0"/>
        <w:autoSpaceDN w:val="0"/>
        <w:adjustRightInd w:val="0"/>
        <w:jc w:val="both"/>
        <w:rPr>
          <w:sz w:val="20"/>
          <w:szCs w:val="20"/>
        </w:rPr>
      </w:pPr>
    </w:p>
    <w:p w:rsidR="008F614D" w:rsidRPr="008F614D" w:rsidRDefault="008F614D" w:rsidP="008F614D">
      <w:pPr>
        <w:pStyle w:val="Bibliography"/>
        <w:spacing w:before="0"/>
      </w:pPr>
      <w:bookmarkStart w:id="2" w:name="OLE_LINK8"/>
      <w:bookmarkStart w:id="3" w:name="OLE_LINK9"/>
      <w:r w:rsidRPr="008F614D">
        <w:t>Aaby, N., &amp; Slater, S. F. (1989), Management influence on export performance: A review of the empirical literature 1978–88. International Marketing Review, 6(6), pp. 7–26.</w:t>
      </w:r>
    </w:p>
    <w:bookmarkEnd w:id="2"/>
    <w:bookmarkEnd w:id="3"/>
    <w:p w:rsidR="008F614D" w:rsidRPr="008F614D" w:rsidRDefault="008F614D" w:rsidP="008F614D">
      <w:pPr>
        <w:pStyle w:val="Bibliography"/>
        <w:spacing w:before="0"/>
      </w:pPr>
      <w:r w:rsidRPr="008F614D">
        <w:t xml:space="preserve">Anderson, J.E. and van Wincoop, E. (2004), ‘Trade costs’, </w:t>
      </w:r>
      <w:r w:rsidRPr="008F614D">
        <w:rPr>
          <w:i/>
          <w:iCs/>
        </w:rPr>
        <w:t>Journal of Economic Literature</w:t>
      </w:r>
      <w:r w:rsidRPr="008F614D">
        <w:t>, 42(3), pp. 691-751.</w:t>
      </w:r>
    </w:p>
    <w:p w:rsidR="008F614D" w:rsidRPr="008F614D" w:rsidRDefault="008F614D" w:rsidP="008F614D">
      <w:pPr>
        <w:pStyle w:val="Bibliography"/>
        <w:spacing w:before="0"/>
      </w:pPr>
      <w:r w:rsidRPr="008F614D">
        <w:t xml:space="preserve">Barker, A. T. and Kaynak, E. (1992), ‘An Empirical Investigation of the Differences between Initiating and Continuing Exporters’, </w:t>
      </w:r>
      <w:r w:rsidRPr="008F614D">
        <w:rPr>
          <w:i/>
          <w:iCs/>
        </w:rPr>
        <w:t xml:space="preserve">European Journal of Marketing </w:t>
      </w:r>
      <w:r w:rsidRPr="008F614D">
        <w:t>26(3), pp. 27–36.</w:t>
      </w:r>
    </w:p>
    <w:p w:rsidR="008F614D" w:rsidRPr="008F614D" w:rsidRDefault="008F614D" w:rsidP="008F614D">
      <w:pPr>
        <w:pStyle w:val="Bibliography"/>
        <w:spacing w:before="0"/>
      </w:pPr>
      <w:bookmarkStart w:id="4" w:name="idb33"/>
      <w:r w:rsidRPr="008F614D">
        <w:t xml:space="preserve">Bauerschmidt, A., Sullivan, D. and Gillespie, K. (1985), ‘Common Factors Underlying Barriers to Export: A Comparative Study in the US Paper Industry’, </w:t>
      </w:r>
      <w:r w:rsidRPr="008F614D">
        <w:rPr>
          <w:i/>
          <w:iCs/>
        </w:rPr>
        <w:t xml:space="preserve">Journal of International Business Studies </w:t>
      </w:r>
      <w:r w:rsidRPr="008F614D">
        <w:t>16(3), pp. 111–23.</w:t>
      </w:r>
    </w:p>
    <w:bookmarkEnd w:id="4"/>
    <w:p w:rsidR="008F614D" w:rsidRPr="008F614D" w:rsidRDefault="008F614D" w:rsidP="008F614D">
      <w:pPr>
        <w:pStyle w:val="Bibliography"/>
        <w:spacing w:before="0"/>
      </w:pPr>
      <w:r w:rsidRPr="008F614D">
        <w:rPr>
          <w:lang w:val="fr-FR"/>
        </w:rPr>
        <w:t>Beamish, P. W., Karavis, L. G., Lane, A., &amp; Ivey, C. (1999), ‘</w:t>
      </w:r>
      <w:r w:rsidRPr="008F614D">
        <w:t xml:space="preserve">The relationship between organizational structure and export performance’, </w:t>
      </w:r>
      <w:r w:rsidRPr="008F614D">
        <w:rPr>
          <w:i/>
        </w:rPr>
        <w:t>Management International Review</w:t>
      </w:r>
      <w:r w:rsidRPr="008F614D">
        <w:t>, 39(1), pp. 37–54.</w:t>
      </w:r>
    </w:p>
    <w:p w:rsidR="008F614D" w:rsidRPr="008F614D" w:rsidRDefault="008F614D" w:rsidP="008F614D">
      <w:pPr>
        <w:pStyle w:val="Bibliography"/>
        <w:spacing w:before="0"/>
      </w:pPr>
      <w:r w:rsidRPr="008F614D">
        <w:t xml:space="preserve">Bell, J. (1995), ‘The internationalization of small computer software firms: A further challenge to “stage” theories’, </w:t>
      </w:r>
      <w:r w:rsidRPr="008F614D">
        <w:rPr>
          <w:i/>
        </w:rPr>
        <w:t>European Journal of Marketing</w:t>
      </w:r>
      <w:r w:rsidRPr="008F614D">
        <w:t xml:space="preserve">, 29(8), pp. 60–75. </w:t>
      </w:r>
    </w:p>
    <w:p w:rsidR="008F614D" w:rsidRPr="008F614D" w:rsidRDefault="008F614D" w:rsidP="008F614D">
      <w:pPr>
        <w:pStyle w:val="Bibliography"/>
        <w:spacing w:before="0"/>
      </w:pPr>
      <w:r w:rsidRPr="008F614D">
        <w:t xml:space="preserve">Bilkey, W. J. (1978), ‘An Attempted Integration of the Literature on the Export Behaviour of Firms’, </w:t>
      </w:r>
      <w:r w:rsidRPr="008F614D">
        <w:rPr>
          <w:i/>
          <w:iCs/>
        </w:rPr>
        <w:t>Journal of International Business Studies</w:t>
      </w:r>
      <w:r w:rsidRPr="008F614D">
        <w:t xml:space="preserve">, 8(1), pp.33-46. </w:t>
      </w:r>
    </w:p>
    <w:p w:rsidR="008F614D" w:rsidRPr="008F614D" w:rsidRDefault="008F614D" w:rsidP="008F614D">
      <w:pPr>
        <w:pStyle w:val="BodyTextIndent3"/>
        <w:spacing w:after="120"/>
        <w:ind w:left="720" w:right="630" w:hanging="720"/>
        <w:jc w:val="both"/>
      </w:pPr>
      <w:r w:rsidRPr="008F614D">
        <w:t xml:space="preserve">Falbe, Cecilia M., and Dianne H.B. Welsh (1998), ‘NAFTA and Franchising: A Comparison of Franchisor Perceptions of Characteristics Associated with Franchisee Success and Failure in Canada, Mexico, and the United States,’ </w:t>
      </w:r>
      <w:r w:rsidRPr="008F614D">
        <w:rPr>
          <w:i/>
          <w:iCs/>
        </w:rPr>
        <w:t xml:space="preserve">Journal of Business Venturing </w:t>
      </w:r>
      <w:r w:rsidRPr="008F614D">
        <w:t xml:space="preserve">13(2), pp. 151-171. </w:t>
      </w:r>
    </w:p>
    <w:p w:rsidR="008F614D" w:rsidRPr="008F614D" w:rsidRDefault="008F614D" w:rsidP="008F614D">
      <w:pPr>
        <w:pStyle w:val="Bibliography"/>
        <w:spacing w:before="0"/>
      </w:pPr>
      <w:r w:rsidRPr="008F614D">
        <w:t xml:space="preserve">Ghauri, P.N., and P. Kumar (1989), “An Empirical Investigation of Factors Influencing Export Behavior of Smaller Swedish Firms”, in </w:t>
      </w:r>
      <w:r w:rsidRPr="008F614D">
        <w:rPr>
          <w:i/>
        </w:rPr>
        <w:t>Marketing Thought and Practice in the 1990s</w:t>
      </w:r>
      <w:r w:rsidRPr="008F614D">
        <w:t>, edited by G. Avlonitis, N.K. Papavasiliou, and A.G. Kouremenos, pp. 355-72. Athens: EMAC Proceedings.</w:t>
      </w:r>
    </w:p>
    <w:p w:rsidR="008F614D" w:rsidRPr="008F614D" w:rsidRDefault="008F614D" w:rsidP="008F614D">
      <w:pPr>
        <w:pStyle w:val="Bibliography"/>
        <w:spacing w:before="0"/>
      </w:pPr>
      <w:r w:rsidRPr="008F614D">
        <w:t xml:space="preserve">Gripsrud, G. (1990), ‘The Determinants of Export Decisions and Attitudes to a Distant Market: Norwegian Fishery Exports to Japan’, </w:t>
      </w:r>
      <w:r w:rsidRPr="008F614D">
        <w:rPr>
          <w:i/>
          <w:iCs/>
        </w:rPr>
        <w:t xml:space="preserve">Journal of International Business Studies </w:t>
      </w:r>
      <w:r w:rsidRPr="008F614D">
        <w:t>21(3), pp. 469–85.</w:t>
      </w:r>
    </w:p>
    <w:p w:rsidR="008F614D" w:rsidRPr="008F614D" w:rsidRDefault="008F614D" w:rsidP="008F614D">
      <w:pPr>
        <w:pStyle w:val="Bibliography"/>
        <w:spacing w:before="0"/>
      </w:pPr>
      <w:r w:rsidRPr="008F614D">
        <w:t xml:space="preserve">Hair, J. F., Anderson, R.E., Tatham, R.L. and Black, W.C. (1999), </w:t>
      </w:r>
      <w:r w:rsidRPr="008F614D">
        <w:rPr>
          <w:i/>
        </w:rPr>
        <w:t>Análisis multivariante</w:t>
      </w:r>
      <w:r w:rsidRPr="008F614D">
        <w:t>, Prentice Hall, Madrid.</w:t>
      </w:r>
    </w:p>
    <w:p w:rsidR="008F614D" w:rsidRPr="008F614D" w:rsidRDefault="008F614D" w:rsidP="008F614D">
      <w:pPr>
        <w:pStyle w:val="Bibliography"/>
        <w:spacing w:before="0"/>
      </w:pPr>
      <w:r w:rsidRPr="008F614D">
        <w:t xml:space="preserve">J. Barney, ‘Firm resources and sustained competitive advantage’, </w:t>
      </w:r>
      <w:r w:rsidRPr="008F614D">
        <w:rPr>
          <w:i/>
          <w:iCs/>
        </w:rPr>
        <w:t>Journal of Management</w:t>
      </w:r>
      <w:r w:rsidRPr="008F614D">
        <w:t xml:space="preserve"> </w:t>
      </w:r>
      <w:r w:rsidRPr="008F614D">
        <w:rPr>
          <w:rStyle w:val="Strong"/>
        </w:rPr>
        <w:t>17</w:t>
      </w:r>
      <w:r w:rsidRPr="008F614D">
        <w:t xml:space="preserve"> (1991), pp. 99–120. </w:t>
      </w:r>
    </w:p>
    <w:p w:rsidR="008F614D" w:rsidRPr="008F614D" w:rsidRDefault="008F614D" w:rsidP="008F614D">
      <w:pPr>
        <w:pStyle w:val="Bibliography"/>
        <w:spacing w:before="0"/>
      </w:pPr>
      <w:r w:rsidRPr="008F614D">
        <w:t xml:space="preserve">Johanson, J. and Vahlne, J. (1990), ‘The Mechanism of Internationalization’, </w:t>
      </w:r>
      <w:r w:rsidRPr="008F614D">
        <w:rPr>
          <w:i/>
          <w:iCs/>
        </w:rPr>
        <w:t xml:space="preserve">International Marketing Review, </w:t>
      </w:r>
      <w:r w:rsidRPr="008F614D">
        <w:t>7(4), pp. 11–24.</w:t>
      </w:r>
    </w:p>
    <w:p w:rsidR="008F614D" w:rsidRPr="008F614D" w:rsidRDefault="008F614D" w:rsidP="008F614D">
      <w:pPr>
        <w:pStyle w:val="Bibliography"/>
        <w:spacing w:before="0"/>
      </w:pPr>
      <w:r w:rsidRPr="008F614D">
        <w:t xml:space="preserve">Johanson, J. and Weidersheim-Paul, F. (1975), ‘The Internationalization of the Firm: Four Swedish Cases’, </w:t>
      </w:r>
      <w:r w:rsidRPr="008F614D">
        <w:rPr>
          <w:i/>
          <w:iCs/>
        </w:rPr>
        <w:t xml:space="preserve">Journal of Management Studies </w:t>
      </w:r>
      <w:r w:rsidRPr="008F614D">
        <w:t>12(3), pp. 305–22.</w:t>
      </w:r>
    </w:p>
    <w:p w:rsidR="008F614D" w:rsidRPr="008F614D" w:rsidRDefault="008F614D" w:rsidP="008F614D">
      <w:pPr>
        <w:pStyle w:val="Bibliography"/>
        <w:spacing w:before="0"/>
      </w:pPr>
      <w:r w:rsidRPr="008F614D">
        <w:lastRenderedPageBreak/>
        <w:t>Karelakis, C., Mattas, K., Chryssochoidis, G. (2008), “Export problems perceptions and clustering of Greek wine firms”, Euromed Journal of Business, 3 (1), pp. 6-22.</w:t>
      </w:r>
    </w:p>
    <w:p w:rsidR="008F614D" w:rsidRPr="008F614D" w:rsidRDefault="008F614D" w:rsidP="008F614D">
      <w:pPr>
        <w:pStyle w:val="Bibliography"/>
        <w:spacing w:before="0"/>
      </w:pPr>
      <w:r w:rsidRPr="008F614D">
        <w:t xml:space="preserve">Katsikeas, C. S., Leonidou, L. C., &amp; Morgan, N. A. (2000), ‘Firm-level export performance assessment: review, evaluation, and development’, </w:t>
      </w:r>
      <w:r w:rsidRPr="008F614D">
        <w:rPr>
          <w:i/>
        </w:rPr>
        <w:t>Journal of Academy of Marketing Science</w:t>
      </w:r>
      <w:r w:rsidRPr="008F614D">
        <w:t>, 28(4), pp. 493–511.</w:t>
      </w:r>
    </w:p>
    <w:p w:rsidR="008F614D" w:rsidRPr="008F614D" w:rsidRDefault="008F614D" w:rsidP="008F614D">
      <w:pPr>
        <w:pStyle w:val="Bibliography"/>
        <w:spacing w:before="0"/>
      </w:pPr>
      <w:r w:rsidRPr="008F614D">
        <w:t xml:space="preserve">Katsikeas, C. S., Piercy, N. F., and Ioannidis, C. (1995), ‘Determinants of export performance in a European context’, </w:t>
      </w:r>
      <w:r w:rsidRPr="008F614D">
        <w:rPr>
          <w:i/>
        </w:rPr>
        <w:t>European Journal of Marketing</w:t>
      </w:r>
      <w:r w:rsidRPr="008F614D">
        <w:t>, 30(6), pp. 6–34.</w:t>
      </w:r>
    </w:p>
    <w:p w:rsidR="008F614D" w:rsidRPr="008F614D" w:rsidRDefault="008F614D" w:rsidP="008F614D">
      <w:pPr>
        <w:pStyle w:val="Bibliography"/>
        <w:spacing w:before="0"/>
      </w:pPr>
      <w:r w:rsidRPr="008F614D">
        <w:t xml:space="preserve">Kedia, B. L. and Chhokar, J. (1986), ‘Factors Inhibiting Export Performance of Firms: An Empirical Investigation’, </w:t>
      </w:r>
      <w:r w:rsidRPr="008F614D">
        <w:rPr>
          <w:i/>
          <w:iCs/>
        </w:rPr>
        <w:t xml:space="preserve">Management International Review </w:t>
      </w:r>
      <w:r w:rsidRPr="008F614D">
        <w:t>26(4), pp. 33–43.</w:t>
      </w:r>
    </w:p>
    <w:p w:rsidR="008F614D" w:rsidRPr="008F614D" w:rsidRDefault="008F614D" w:rsidP="008F614D">
      <w:pPr>
        <w:pStyle w:val="Bibliography"/>
        <w:spacing w:before="0"/>
      </w:pPr>
      <w:r w:rsidRPr="008F614D">
        <w:t xml:space="preserve">Keng, K. A. and Jiuan, T. S. (1989), ‘Differences between Small and Medium-sized Exporting and Non-exporting Firms: Nature or Nurture’, </w:t>
      </w:r>
      <w:r w:rsidRPr="008F614D">
        <w:rPr>
          <w:i/>
          <w:iCs/>
        </w:rPr>
        <w:t xml:space="preserve">International Marketing Review </w:t>
      </w:r>
      <w:r w:rsidRPr="008F614D">
        <w:t>6(4), pp. 27–40.</w:t>
      </w:r>
    </w:p>
    <w:p w:rsidR="008F614D" w:rsidRPr="008F614D" w:rsidRDefault="008F614D" w:rsidP="008F614D">
      <w:pPr>
        <w:pStyle w:val="Bibliography"/>
        <w:spacing w:before="0"/>
      </w:pPr>
      <w:r w:rsidRPr="008F614D">
        <w:t xml:space="preserve">Kneller, R., Pisu, M. and Yu, Z. (2008), Overseas Trading Costs and Firm Export Performance, </w:t>
      </w:r>
      <w:r w:rsidRPr="008F614D">
        <w:rPr>
          <w:i/>
        </w:rPr>
        <w:t>Canadian Journal of Economics</w:t>
      </w:r>
      <w:r w:rsidRPr="008F614D">
        <w:t xml:space="preserve"> 41(2), pp. 639-69.</w:t>
      </w:r>
    </w:p>
    <w:p w:rsidR="008F614D" w:rsidRPr="008F614D" w:rsidRDefault="008F614D" w:rsidP="008F614D">
      <w:pPr>
        <w:pStyle w:val="Bibliography"/>
        <w:spacing w:before="0"/>
      </w:pPr>
      <w:r w:rsidRPr="008F614D">
        <w:t xml:space="preserve">Leonidas C. Leonidou (1995b), ‘Export Barriers: Non-exporters’ Perceptions’, </w:t>
      </w:r>
      <w:r w:rsidRPr="008F614D">
        <w:rPr>
          <w:i/>
          <w:iCs/>
        </w:rPr>
        <w:t xml:space="preserve">International Marketing Review </w:t>
      </w:r>
      <w:r w:rsidRPr="008F614D">
        <w:t>12(1), pp. 4–25.</w:t>
      </w:r>
    </w:p>
    <w:p w:rsidR="008F614D" w:rsidRPr="008F614D" w:rsidRDefault="008F614D" w:rsidP="008F614D">
      <w:pPr>
        <w:pStyle w:val="Bibliography"/>
        <w:spacing w:before="0"/>
      </w:pPr>
      <w:r w:rsidRPr="008F614D">
        <w:t xml:space="preserve">Leonidas C. Leonidou (2000), ‘Barriers to Export Management: An Organizational and Internationalization Analysis’, </w:t>
      </w:r>
      <w:r w:rsidRPr="008F614D">
        <w:rPr>
          <w:i/>
          <w:iCs/>
        </w:rPr>
        <w:t xml:space="preserve">Journal of International Management </w:t>
      </w:r>
      <w:r w:rsidRPr="008F614D">
        <w:t>6(2), pp. 1–28.</w:t>
      </w:r>
    </w:p>
    <w:p w:rsidR="008F614D" w:rsidRPr="008F614D" w:rsidRDefault="008F614D" w:rsidP="008F614D">
      <w:pPr>
        <w:pStyle w:val="Bibliography"/>
        <w:spacing w:before="0"/>
      </w:pPr>
      <w:r w:rsidRPr="008F614D">
        <w:t xml:space="preserve">Leonidou, Leonidas C. (1995a), ‘Empirical Research on Export Barriers: Review, Assessment, and Synthesis’, </w:t>
      </w:r>
      <w:r w:rsidRPr="008F614D">
        <w:rPr>
          <w:i/>
          <w:iCs/>
        </w:rPr>
        <w:t xml:space="preserve">Journal of International Marketing </w:t>
      </w:r>
      <w:r w:rsidRPr="008F614D">
        <w:t>3(1), pp. 29–43.</w:t>
      </w:r>
    </w:p>
    <w:p w:rsidR="008F614D" w:rsidRPr="008F614D" w:rsidRDefault="008F614D" w:rsidP="008F614D">
      <w:pPr>
        <w:pStyle w:val="Bibliography"/>
        <w:spacing w:before="0"/>
      </w:pPr>
      <w:r w:rsidRPr="008F614D">
        <w:t xml:space="preserve">Leonidou, Leonidas C., and Constantine S. Katsikeas (1996), ‘The Export Development Process: An Integrative Review of Empirical Models’, </w:t>
      </w:r>
      <w:r w:rsidRPr="008F614D">
        <w:rPr>
          <w:i/>
          <w:iCs/>
        </w:rPr>
        <w:t xml:space="preserve">Journal of International Business Studies, </w:t>
      </w:r>
      <w:r w:rsidRPr="008F614D">
        <w:t>27(3), pp. 517–51.</w:t>
      </w:r>
    </w:p>
    <w:p w:rsidR="008F614D" w:rsidRPr="008F614D" w:rsidRDefault="008F614D" w:rsidP="008F614D">
      <w:pPr>
        <w:pStyle w:val="Bibliography"/>
        <w:spacing w:before="0"/>
      </w:pPr>
      <w:r w:rsidRPr="008F614D">
        <w:t xml:space="preserve">Likert, R. (1932), ‘A Technique for the Measurement of Attitudes’, </w:t>
      </w:r>
      <w:r w:rsidRPr="008F614D">
        <w:rPr>
          <w:i/>
        </w:rPr>
        <w:t>Archives of Psychology</w:t>
      </w:r>
      <w:r w:rsidRPr="008F614D">
        <w:t>, No: 140, pp.55.</w:t>
      </w:r>
    </w:p>
    <w:p w:rsidR="008F614D" w:rsidRPr="008F614D" w:rsidRDefault="008F614D" w:rsidP="008F614D">
      <w:pPr>
        <w:pStyle w:val="Bibliography"/>
        <w:spacing w:before="0"/>
      </w:pPr>
      <w:r w:rsidRPr="008F614D">
        <w:t xml:space="preserve">Madsen, T. K. (1989), ‘Successful Export Marketing Management: Some Empirical Evidence’, </w:t>
      </w:r>
      <w:r w:rsidRPr="008F614D">
        <w:rPr>
          <w:i/>
        </w:rPr>
        <w:t xml:space="preserve">International Marketing Review, </w:t>
      </w:r>
      <w:r w:rsidRPr="008F614D">
        <w:t>6 (4), pp. 41-57.</w:t>
      </w:r>
    </w:p>
    <w:p w:rsidR="008F614D" w:rsidRPr="008F614D" w:rsidRDefault="008F614D" w:rsidP="008F614D">
      <w:pPr>
        <w:pStyle w:val="Bibliography"/>
        <w:spacing w:before="0"/>
        <w:rPr>
          <w:bCs w:val="0"/>
          <w:lang w:eastAsia="zh-CN"/>
        </w:rPr>
      </w:pPr>
      <w:r w:rsidRPr="008F614D">
        <w:rPr>
          <w:bCs w:val="0"/>
        </w:rPr>
        <w:t xml:space="preserve">Mehta, R. (2005), </w:t>
      </w:r>
      <w:r w:rsidRPr="008F614D">
        <w:rPr>
          <w:bCs w:val="0"/>
          <w:i/>
        </w:rPr>
        <w:t>Non-tariff Barriers Affecting India’s Exports,</w:t>
      </w:r>
      <w:r w:rsidRPr="008F614D">
        <w:rPr>
          <w:bCs w:val="0"/>
        </w:rPr>
        <w:t xml:space="preserve"> RIS Discussion Paper No: 97, Research and Information System for the Non-Aligned and Other Developing Countries (RIS), June. Online access on </w:t>
      </w:r>
      <w:hyperlink r:id="rId16" w:history="1">
        <w:r w:rsidRPr="008F614D">
          <w:rPr>
            <w:rStyle w:val="Hyperlink"/>
            <w:bCs w:val="0"/>
            <w:lang w:eastAsia="zh-CN"/>
          </w:rPr>
          <w:t>http://www.ris.org.in/dp97_pap.pdf</w:t>
        </w:r>
      </w:hyperlink>
      <w:r w:rsidRPr="008F614D">
        <w:rPr>
          <w:bCs w:val="0"/>
          <w:lang w:eastAsia="zh-CN"/>
        </w:rPr>
        <w:t>.</w:t>
      </w:r>
    </w:p>
    <w:p w:rsidR="008F614D" w:rsidRPr="008F614D" w:rsidRDefault="008F614D" w:rsidP="008F614D">
      <w:pPr>
        <w:pStyle w:val="Bibliography"/>
        <w:spacing w:before="0"/>
      </w:pPr>
      <w:hyperlink r:id="rId17" w:anchor="bbib33#bbib33" w:history="1">
        <w:r w:rsidRPr="008F614D">
          <w:t>Mohan-Neill</w:t>
        </w:r>
      </w:hyperlink>
      <w:r w:rsidRPr="008F614D">
        <w:t xml:space="preserve">, S.I., (1995), ‘The influence of firm's age and size on its environmental scanning activities’, </w:t>
      </w:r>
      <w:r w:rsidRPr="008F614D">
        <w:rPr>
          <w:i/>
          <w:iCs/>
        </w:rPr>
        <w:t>Journal of Small Business Management,</w:t>
      </w:r>
      <w:r w:rsidRPr="008F614D">
        <w:t xml:space="preserve"> </w:t>
      </w:r>
      <w:r w:rsidRPr="008F614D">
        <w:rPr>
          <w:rStyle w:val="Strong"/>
          <w:b w:val="0"/>
        </w:rPr>
        <w:t>10 (1)</w:t>
      </w:r>
      <w:r w:rsidRPr="008F614D">
        <w:t xml:space="preserve">, pp. 10–21. </w:t>
      </w:r>
    </w:p>
    <w:p w:rsidR="008F614D" w:rsidRPr="008F614D" w:rsidRDefault="008F614D" w:rsidP="008F614D">
      <w:pPr>
        <w:pStyle w:val="Bibliography"/>
        <w:spacing w:before="0"/>
      </w:pPr>
      <w:r w:rsidRPr="008F614D">
        <w:t xml:space="preserve">Moini A. (1995), ‘An inquiry into successful exporting: An empirical investigation using a three-stage model’, </w:t>
      </w:r>
      <w:r w:rsidRPr="008F614D">
        <w:rPr>
          <w:i/>
          <w:iCs/>
        </w:rPr>
        <w:t>Journal of Small Business Management,</w:t>
      </w:r>
      <w:r w:rsidRPr="008F614D">
        <w:t xml:space="preserve"> </w:t>
      </w:r>
      <w:r w:rsidRPr="008F614D">
        <w:rPr>
          <w:rStyle w:val="Strong"/>
        </w:rPr>
        <w:t>33</w:t>
      </w:r>
      <w:r w:rsidRPr="008F614D">
        <w:t xml:space="preserve"> (3), pp. 9–25. </w:t>
      </w:r>
    </w:p>
    <w:p w:rsidR="008F614D" w:rsidRPr="008F614D" w:rsidRDefault="008F614D" w:rsidP="008F614D">
      <w:pPr>
        <w:pStyle w:val="Bibliography"/>
        <w:spacing w:before="0"/>
      </w:pPr>
      <w:r w:rsidRPr="008F614D">
        <w:t xml:space="preserve">Morgan, R. E. and C. S. Katsikeas (1997), ‘Obstacles to Export Initiation and Expansion’, </w:t>
      </w:r>
      <w:r w:rsidRPr="008F614D">
        <w:rPr>
          <w:i/>
          <w:iCs/>
        </w:rPr>
        <w:t xml:space="preserve">Omega </w:t>
      </w:r>
      <w:r w:rsidRPr="008F614D">
        <w:t>25(6), 677–90.</w:t>
      </w:r>
    </w:p>
    <w:p w:rsidR="008F614D" w:rsidRPr="008F614D" w:rsidRDefault="008F614D" w:rsidP="008F614D">
      <w:pPr>
        <w:pStyle w:val="Bibliography"/>
        <w:spacing w:before="0"/>
        <w:rPr>
          <w:lang w:eastAsia="zh-CN"/>
        </w:rPr>
      </w:pPr>
      <w:r w:rsidRPr="008F614D">
        <w:t xml:space="preserve">OECD (2005), </w:t>
      </w:r>
      <w:r w:rsidRPr="008F614D">
        <w:rPr>
          <w:i/>
        </w:rPr>
        <w:t>Analysis of Non-Tariff Barriers of Concern to Developing Countries</w:t>
      </w:r>
      <w:r w:rsidRPr="008F614D">
        <w:rPr>
          <w:lang w:eastAsia="zh-CN"/>
        </w:rPr>
        <w:t>. TD/TC/WP(2004)47/REV1, Paris.</w:t>
      </w:r>
    </w:p>
    <w:p w:rsidR="008F614D" w:rsidRPr="008F614D" w:rsidRDefault="008F614D" w:rsidP="008F614D">
      <w:pPr>
        <w:pStyle w:val="Bibliography"/>
        <w:spacing w:before="0"/>
      </w:pPr>
      <w:r w:rsidRPr="008F614D">
        <w:lastRenderedPageBreak/>
        <w:t xml:space="preserve">Pett, T. and Wolff, J. (2000), “Internationalization of small firms: An examination of export competitive patterns, firms size, and export performance”, Journal of Small Business Management. 38(2), pp. 34 – 47. </w:t>
      </w:r>
    </w:p>
    <w:p w:rsidR="008F614D" w:rsidRPr="008F614D" w:rsidRDefault="008F614D" w:rsidP="008F614D">
      <w:pPr>
        <w:pStyle w:val="Bibliography"/>
        <w:spacing w:before="0"/>
      </w:pPr>
      <w:r w:rsidRPr="008F614D">
        <w:t xml:space="preserve">Pett, T. and Wolff, J. (2003), ‘Firm characteristics and managerial perceptions of NAFTA: An assessment of export implications for U.S. SMEs’, </w:t>
      </w:r>
      <w:r w:rsidRPr="008F614D">
        <w:rPr>
          <w:i/>
          <w:iCs/>
        </w:rPr>
        <w:t>Journal of Small Business Management,</w:t>
      </w:r>
      <w:r w:rsidRPr="008F614D">
        <w:t xml:space="preserve"> </w:t>
      </w:r>
      <w:r w:rsidRPr="008F614D">
        <w:rPr>
          <w:rStyle w:val="Strong"/>
          <w:b w:val="0"/>
        </w:rPr>
        <w:t>41</w:t>
      </w:r>
      <w:r w:rsidRPr="008F614D">
        <w:t xml:space="preserve"> (2), pp. 117–32. </w:t>
      </w:r>
    </w:p>
    <w:p w:rsidR="008F614D" w:rsidRPr="008F614D" w:rsidRDefault="008F614D" w:rsidP="008F614D">
      <w:pPr>
        <w:pStyle w:val="Bibliography"/>
        <w:spacing w:before="0"/>
      </w:pPr>
      <w:r w:rsidRPr="008F614D">
        <w:t>Pinney, J.K. (1971), ‘Obstacles to Foreign Trade of 209 Indiana Manufacturers’, pp. 49, Bulletin published by the Indiana Department of Commerce, Indianapolis, Indiana.</w:t>
      </w:r>
    </w:p>
    <w:p w:rsidR="008F614D" w:rsidRPr="008F614D" w:rsidRDefault="008F614D" w:rsidP="008F614D">
      <w:pPr>
        <w:pStyle w:val="BodyTextIndent3"/>
        <w:spacing w:after="120"/>
        <w:ind w:left="720" w:right="630" w:hanging="720"/>
        <w:jc w:val="both"/>
      </w:pPr>
      <w:r w:rsidRPr="008F614D">
        <w:t xml:space="preserve">Prahalad, C. and Hamel, G. (1990), The </w:t>
      </w:r>
      <w:r w:rsidR="004F34FB">
        <w:t>C</w:t>
      </w:r>
      <w:r w:rsidRPr="008F614D">
        <w:t xml:space="preserve">ore </w:t>
      </w:r>
      <w:r w:rsidR="004F34FB">
        <w:t>C</w:t>
      </w:r>
      <w:r w:rsidRPr="008F614D">
        <w:t xml:space="preserve">ompetence of the </w:t>
      </w:r>
      <w:r w:rsidR="004F34FB">
        <w:t>C</w:t>
      </w:r>
      <w:r w:rsidRPr="008F614D">
        <w:t xml:space="preserve">orporation, </w:t>
      </w:r>
      <w:r w:rsidRPr="008F614D">
        <w:rPr>
          <w:i/>
          <w:iCs/>
        </w:rPr>
        <w:t>Harvard Business Review</w:t>
      </w:r>
      <w:r w:rsidRPr="008F614D">
        <w:t xml:space="preserve">, May/June. </w:t>
      </w:r>
    </w:p>
    <w:p w:rsidR="008F614D" w:rsidRPr="008F614D" w:rsidRDefault="008F614D" w:rsidP="008F614D">
      <w:pPr>
        <w:pStyle w:val="Bibliography"/>
        <w:spacing w:before="0"/>
      </w:pPr>
      <w:r w:rsidRPr="008F614D">
        <w:t xml:space="preserve">Ramaswami, S. N. and Yang, Y. (1990), ‘Perceived Barriers to Exporting and Export Assistance Requirements’, in S. T. Cavusgil and M. R. Czinkota (eds) </w:t>
      </w:r>
      <w:r w:rsidRPr="008F614D">
        <w:rPr>
          <w:i/>
          <w:iCs/>
        </w:rPr>
        <w:t>International Perspectives on Trade Promotion and Assistance,</w:t>
      </w:r>
      <w:r w:rsidRPr="008F614D">
        <w:t xml:space="preserve"> Westport, CT: Quorum Books.</w:t>
      </w:r>
    </w:p>
    <w:p w:rsidR="008F614D" w:rsidRPr="008F614D" w:rsidRDefault="008F614D" w:rsidP="008F614D">
      <w:pPr>
        <w:pStyle w:val="Bibliography"/>
        <w:spacing w:before="0"/>
      </w:pPr>
      <w:r w:rsidRPr="008F614D">
        <w:t xml:space="preserve">Reuber, A. R. and Fischer, E. (1997), </w:t>
      </w:r>
      <w:hyperlink r:id="rId18" w:history="1">
        <w:r w:rsidRPr="008F614D">
          <w:t>The Influence of the Management Team's International Experience on the Internationalization Behaviors of SMEs</w:t>
        </w:r>
      </w:hyperlink>
      <w:r w:rsidRPr="008F614D">
        <w:t xml:space="preserve">, </w:t>
      </w:r>
      <w:hyperlink r:id="rId19" w:history="1">
        <w:r w:rsidRPr="008F614D">
          <w:rPr>
            <w:i/>
            <w:iCs/>
          </w:rPr>
          <w:t>Journal of International Business Studies</w:t>
        </w:r>
      </w:hyperlink>
      <w:r w:rsidRPr="008F614D">
        <w:t xml:space="preserve">, 28(4), pp. 807-25. </w:t>
      </w:r>
    </w:p>
    <w:p w:rsidR="008F614D" w:rsidRPr="008F614D" w:rsidRDefault="008F614D" w:rsidP="008F614D">
      <w:pPr>
        <w:pStyle w:val="Bibliography"/>
        <w:spacing w:before="0"/>
      </w:pPr>
      <w:r w:rsidRPr="008F614D">
        <w:t xml:space="preserve">Sharkey, T. W., Lim, J.S. and Kim, K. J. (1989), ‘Export Development and Perceived Export Barriers: An Empirical Analysis of Small Firms’, </w:t>
      </w:r>
      <w:r w:rsidRPr="008F614D">
        <w:rPr>
          <w:i/>
          <w:iCs/>
        </w:rPr>
        <w:t xml:space="preserve">Management International Review </w:t>
      </w:r>
      <w:r w:rsidRPr="008F614D">
        <w:t>29(2), pp. 33–40.</w:t>
      </w:r>
    </w:p>
    <w:p w:rsidR="008F614D" w:rsidRPr="008F614D" w:rsidRDefault="008F614D" w:rsidP="008F614D">
      <w:pPr>
        <w:pStyle w:val="Bibliography"/>
        <w:spacing w:before="0"/>
        <w:rPr>
          <w:bCs w:val="0"/>
        </w:rPr>
      </w:pPr>
      <w:r w:rsidRPr="008F614D">
        <w:rPr>
          <w:bCs w:val="0"/>
        </w:rPr>
        <w:t xml:space="preserve">WTO (2003), </w:t>
      </w:r>
      <w:r w:rsidRPr="008F614D">
        <w:rPr>
          <w:bCs w:val="0"/>
          <w:i/>
        </w:rPr>
        <w:t>Report of the Committee on Technical Barriers to Trade</w:t>
      </w:r>
      <w:r w:rsidRPr="008F614D">
        <w:rPr>
          <w:bCs w:val="0"/>
        </w:rPr>
        <w:t xml:space="preserve">, G/L/657, WTO Secretariat: Geneva, </w:t>
      </w:r>
      <w:r w:rsidRPr="008F614D">
        <w:rPr>
          <w:bCs w:val="0"/>
          <w:lang w:eastAsia="zh-CN"/>
        </w:rPr>
        <w:t>November.</w:t>
      </w:r>
    </w:p>
    <w:p w:rsidR="00A00479" w:rsidRPr="00B9344E" w:rsidRDefault="00A00479" w:rsidP="009527DC">
      <w:pPr>
        <w:pStyle w:val="BodyTextIndent3"/>
        <w:ind w:left="720" w:right="630" w:hanging="720"/>
        <w:jc w:val="both"/>
      </w:pPr>
    </w:p>
    <w:p w:rsidR="00A00479" w:rsidRDefault="00A00479" w:rsidP="00DA45C6">
      <w:pPr>
        <w:pStyle w:val="Bibliography"/>
        <w:spacing w:before="0"/>
      </w:pPr>
    </w:p>
    <w:p w:rsidR="00A00479" w:rsidRDefault="00A00479" w:rsidP="00DA45C6">
      <w:pPr>
        <w:pStyle w:val="Bibliography"/>
        <w:spacing w:before="0"/>
        <w:rPr>
          <w:rFonts w:ascii="Times-Roman" w:hAnsi="Times-Roman" w:cs="Times-Roman"/>
          <w:sz w:val="20"/>
          <w:szCs w:val="20"/>
        </w:rPr>
      </w:pPr>
    </w:p>
    <w:p w:rsidR="00A00479" w:rsidRDefault="00A00479" w:rsidP="00A35BF2">
      <w:pPr>
        <w:autoSpaceDE w:val="0"/>
        <w:autoSpaceDN w:val="0"/>
        <w:adjustRightInd w:val="0"/>
        <w:spacing w:line="360" w:lineRule="auto"/>
        <w:rPr>
          <w:rFonts w:ascii="ITCGaramondMM_405_625_" w:hAnsi="ITCGaramondMM_405_625_" w:cs="ITCGaramondMM_405_625_"/>
          <w:sz w:val="20"/>
          <w:szCs w:val="20"/>
        </w:rPr>
      </w:pPr>
    </w:p>
    <w:p w:rsidR="00A00479" w:rsidRDefault="00A00479" w:rsidP="00A35BF2">
      <w:pPr>
        <w:autoSpaceDE w:val="0"/>
        <w:autoSpaceDN w:val="0"/>
        <w:adjustRightInd w:val="0"/>
        <w:spacing w:line="360" w:lineRule="auto"/>
        <w:rPr>
          <w:rFonts w:ascii="ITCGaramondMM_405_625_" w:hAnsi="ITCGaramondMM_405_625_" w:cs="ITCGaramondMM_405_625_"/>
          <w:sz w:val="20"/>
          <w:szCs w:val="20"/>
        </w:rPr>
      </w:pPr>
    </w:p>
    <w:p w:rsidR="00A00479" w:rsidRPr="00B93ABF" w:rsidRDefault="00A00479" w:rsidP="00A35BF2">
      <w:pPr>
        <w:pStyle w:val="Bibliography"/>
        <w:spacing w:before="0" w:after="0" w:line="360" w:lineRule="auto"/>
      </w:pPr>
    </w:p>
    <w:sectPr w:rsidR="00A00479" w:rsidRPr="00B93ABF" w:rsidSect="00FC0DEA">
      <w:footerReference w:type="even" r:id="rId20"/>
      <w:footerReference w:type="default" r:id="rId21"/>
      <w:pgSz w:w="12240" w:h="15840" w:code="1"/>
      <w:pgMar w:top="1440" w:right="1298" w:bottom="1440" w:left="1440" w:header="1021" w:footer="102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F5C" w:rsidRDefault="00192F5C">
      <w:r>
        <w:separator/>
      </w:r>
    </w:p>
  </w:endnote>
  <w:endnote w:type="continuationSeparator" w:id="1">
    <w:p w:rsidR="00192F5C" w:rsidRDefault="00192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ITCGaramondMM_405_625_">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5D" w:rsidRDefault="00BC265D">
    <w:pPr>
      <w:pStyle w:val="Footer"/>
    </w:pPr>
    <w:r>
      <w:tab/>
      <w:t xml:space="preserve">- </w:t>
    </w:r>
    <w:fldSimple w:instr=" PAGE ">
      <w:r w:rsidR="002D4284">
        <w:rPr>
          <w:noProof/>
        </w:rPr>
        <w:t>18</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5D" w:rsidRDefault="00BC265D">
    <w:pPr>
      <w:pStyle w:val="Footer"/>
    </w:pPr>
    <w:r>
      <w:tab/>
      <w:t xml:space="preserve">- </w:t>
    </w:r>
    <w:fldSimple w:instr=" PAGE ">
      <w:r w:rsidR="002D4284">
        <w:rPr>
          <w:noProof/>
        </w:rPr>
        <w:t>17</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F5C" w:rsidRDefault="00192F5C">
      <w:r>
        <w:separator/>
      </w:r>
    </w:p>
  </w:footnote>
  <w:footnote w:type="continuationSeparator" w:id="1">
    <w:p w:rsidR="00192F5C" w:rsidRDefault="00192F5C">
      <w:r>
        <w:continuationSeparator/>
      </w:r>
    </w:p>
  </w:footnote>
  <w:footnote w:id="2">
    <w:p w:rsidR="00BC265D" w:rsidRPr="00945267" w:rsidRDefault="00BC265D" w:rsidP="003A7A3C">
      <w:pPr>
        <w:pStyle w:val="FootnoteText"/>
        <w:spacing w:after="0" w:line="240" w:lineRule="auto"/>
        <w:ind w:left="115" w:hanging="144"/>
        <w:jc w:val="both"/>
        <w:rPr>
          <w:rFonts w:ascii="Times New Roman" w:hAnsi="Times New Roman"/>
        </w:rPr>
      </w:pPr>
      <w:r w:rsidRPr="00945267">
        <w:rPr>
          <w:rStyle w:val="FootnoteReference"/>
          <w:rFonts w:ascii="Times New Roman" w:hAnsi="Times New Roman"/>
        </w:rPr>
        <w:sym w:font="Symbol" w:char="F02A"/>
      </w:r>
      <w:r w:rsidRPr="00945267">
        <w:rPr>
          <w:rFonts w:ascii="Times New Roman" w:hAnsi="Times New Roman"/>
        </w:rPr>
        <w:t xml:space="preserve"> School of Management and Business, </w:t>
      </w:r>
      <w:smartTag w:uri="urn:schemas-microsoft-com:office:smarttags" w:element="PlaceName">
        <w:r w:rsidRPr="00945267">
          <w:rPr>
            <w:rFonts w:ascii="Times New Roman" w:hAnsi="Times New Roman"/>
          </w:rPr>
          <w:t>Aberystwyth</w:t>
        </w:r>
      </w:smartTag>
      <w:r w:rsidRPr="00945267">
        <w:rPr>
          <w:rFonts w:ascii="Times New Roman" w:hAnsi="Times New Roman"/>
        </w:rPr>
        <w:t xml:space="preserve"> </w:t>
      </w:r>
      <w:smartTag w:uri="urn:schemas-microsoft-com:office:smarttags" w:element="PlaceType">
        <w:r w:rsidRPr="00945267">
          <w:rPr>
            <w:rFonts w:ascii="Times New Roman" w:hAnsi="Times New Roman"/>
          </w:rPr>
          <w:t>University</w:t>
        </w:r>
      </w:smartTag>
      <w:r w:rsidRPr="00945267">
        <w:rPr>
          <w:rFonts w:ascii="Times New Roman" w:hAnsi="Times New Roman"/>
        </w:rPr>
        <w:t xml:space="preserve">, </w:t>
      </w:r>
      <w:smartTag w:uri="urn:schemas-microsoft-com:office:smarttags" w:element="City">
        <w:smartTag w:uri="urn:schemas-microsoft-com:office:smarttags" w:element="place">
          <w:r w:rsidRPr="00945267">
            <w:rPr>
              <w:rFonts w:ascii="Times New Roman" w:hAnsi="Times New Roman"/>
            </w:rPr>
            <w:t>Aberystwyth</w:t>
          </w:r>
        </w:smartTag>
        <w:r w:rsidRPr="00945267">
          <w:rPr>
            <w:rFonts w:ascii="Times New Roman" w:hAnsi="Times New Roman"/>
          </w:rPr>
          <w:t xml:space="preserve">, </w:t>
        </w:r>
        <w:smartTag w:uri="urn:schemas-microsoft-com:office:smarttags" w:element="PostalCode">
          <w:r w:rsidRPr="00945267">
            <w:rPr>
              <w:rFonts w:ascii="Times New Roman" w:hAnsi="Times New Roman"/>
            </w:rPr>
            <w:t>SY23 3DD</w:t>
          </w:r>
        </w:smartTag>
        <w:r w:rsidRPr="00945267">
          <w:rPr>
            <w:rFonts w:ascii="Times New Roman" w:hAnsi="Times New Roman"/>
          </w:rPr>
          <w:t xml:space="preserve">, </w:t>
        </w:r>
        <w:smartTag w:uri="urn:schemas-microsoft-com:office:smarttags" w:element="country-region">
          <w:r w:rsidRPr="00945267">
            <w:rPr>
              <w:rFonts w:ascii="Times New Roman" w:hAnsi="Times New Roman"/>
            </w:rPr>
            <w:t>United Kingdom</w:t>
          </w:r>
        </w:smartTag>
      </w:smartTag>
    </w:p>
    <w:p w:rsidR="00BC265D" w:rsidRDefault="00BC265D" w:rsidP="003A7A3C">
      <w:pPr>
        <w:pStyle w:val="FootnoteText"/>
        <w:spacing w:after="0" w:line="240" w:lineRule="auto"/>
        <w:ind w:left="115" w:hanging="144"/>
        <w:jc w:val="both"/>
      </w:pPr>
      <w:r w:rsidRPr="00945267">
        <w:rPr>
          <w:rFonts w:ascii="Times New Roman" w:hAnsi="Times New Roman"/>
        </w:rPr>
        <w:t xml:space="preserve"> </w:t>
      </w:r>
      <w:r w:rsidRPr="00945267">
        <w:rPr>
          <w:rFonts w:ascii="Times New Roman" w:hAnsi="Times New Roman"/>
        </w:rPr>
        <w:tab/>
        <w:t xml:space="preserve">Correspondence details: </w:t>
      </w:r>
      <w:hyperlink r:id="rId1" w:history="1">
        <w:r w:rsidRPr="00945267">
          <w:rPr>
            <w:rStyle w:val="Hyperlink"/>
            <w:rFonts w:ascii="Times New Roman" w:hAnsi="Times New Roman"/>
          </w:rPr>
          <w:t>sak@aber.ac.uk</w:t>
        </w:r>
      </w:hyperlink>
      <w:r w:rsidRPr="00945267">
        <w:rPr>
          <w:rFonts w:ascii="Times New Roman" w:hAnsi="Times New Roman"/>
        </w:rPr>
        <w:t xml:space="preserve"> </w:t>
      </w:r>
    </w:p>
  </w:footnote>
  <w:footnote w:id="3">
    <w:p w:rsidR="00BC265D" w:rsidRDefault="00BC265D" w:rsidP="003A7A3C">
      <w:pPr>
        <w:pStyle w:val="Heading6"/>
        <w:spacing w:before="0" w:beforeAutospacing="0" w:after="0" w:afterAutospacing="0"/>
        <w:jc w:val="both"/>
      </w:pPr>
      <w:r w:rsidRPr="003A7A3C">
        <w:rPr>
          <w:rStyle w:val="FootnoteReference"/>
          <w:b w:val="0"/>
          <w:sz w:val="20"/>
          <w:szCs w:val="20"/>
        </w:rPr>
        <w:sym w:font="Symbol" w:char="F02A"/>
      </w:r>
      <w:r w:rsidRPr="003A7A3C">
        <w:rPr>
          <w:rStyle w:val="FootnoteReference"/>
          <w:b w:val="0"/>
          <w:sz w:val="20"/>
          <w:szCs w:val="20"/>
        </w:rPr>
        <w:sym w:font="Symbol" w:char="F02A"/>
      </w:r>
      <w:r w:rsidRPr="003A7A3C">
        <w:rPr>
          <w:b w:val="0"/>
          <w:sz w:val="20"/>
          <w:szCs w:val="20"/>
        </w:rPr>
        <w:t xml:space="preserve"> School of Business &amp; Economics, Swansea University, Swansea, SA2 8PP, United Kingdom</w:t>
      </w:r>
    </w:p>
  </w:footnote>
  <w:footnote w:id="4">
    <w:p w:rsidR="00BC265D" w:rsidRPr="00945267" w:rsidRDefault="00BC265D" w:rsidP="003A7A3C">
      <w:pPr>
        <w:pStyle w:val="FootnoteText"/>
        <w:spacing w:after="0" w:line="240" w:lineRule="auto"/>
        <w:ind w:left="115" w:hanging="144"/>
        <w:jc w:val="both"/>
        <w:rPr>
          <w:rFonts w:ascii="Times New Roman" w:hAnsi="Times New Roman"/>
        </w:rPr>
      </w:pPr>
      <w:r w:rsidRPr="003A7A3C">
        <w:rPr>
          <w:rStyle w:val="FootnoteReference"/>
          <w:rFonts w:ascii="Times New Roman" w:hAnsi="Times New Roman"/>
        </w:rPr>
        <w:sym w:font="Symbol" w:char="F0A7"/>
      </w:r>
      <w:r w:rsidRPr="003A7A3C">
        <w:rPr>
          <w:rFonts w:ascii="Times New Roman" w:hAnsi="Times New Roman"/>
        </w:rPr>
        <w:t xml:space="preserve"> School of Management and Business, </w:t>
      </w:r>
      <w:smartTag w:uri="urn:schemas-microsoft-com:office:smarttags" w:element="PlaceName">
        <w:r w:rsidRPr="003A7A3C">
          <w:rPr>
            <w:rFonts w:ascii="Times New Roman" w:hAnsi="Times New Roman"/>
          </w:rPr>
          <w:t>Aberystwyth</w:t>
        </w:r>
      </w:smartTag>
      <w:r w:rsidRPr="003A7A3C">
        <w:rPr>
          <w:rFonts w:ascii="Times New Roman" w:hAnsi="Times New Roman"/>
        </w:rPr>
        <w:t xml:space="preserve"> </w:t>
      </w:r>
      <w:smartTag w:uri="urn:schemas-microsoft-com:office:smarttags" w:element="PlaceType">
        <w:r w:rsidRPr="003A7A3C">
          <w:rPr>
            <w:rFonts w:ascii="Times New Roman" w:hAnsi="Times New Roman"/>
          </w:rPr>
          <w:t>University</w:t>
        </w:r>
      </w:smartTag>
      <w:r w:rsidRPr="003A7A3C">
        <w:rPr>
          <w:rFonts w:ascii="Times New Roman" w:hAnsi="Times New Roman"/>
        </w:rPr>
        <w:t xml:space="preserve">, </w:t>
      </w:r>
      <w:smartTag w:uri="urn:schemas-microsoft-com:office:smarttags" w:element="place">
        <w:smartTag w:uri="urn:schemas-microsoft-com:office:smarttags" w:element="City">
          <w:r w:rsidRPr="003A7A3C">
            <w:rPr>
              <w:rFonts w:ascii="Times New Roman" w:hAnsi="Times New Roman"/>
            </w:rPr>
            <w:t>Aberystwyth</w:t>
          </w:r>
        </w:smartTag>
        <w:r w:rsidRPr="003A7A3C">
          <w:rPr>
            <w:rFonts w:ascii="Times New Roman" w:hAnsi="Times New Roman"/>
          </w:rPr>
          <w:t xml:space="preserve">, </w:t>
        </w:r>
        <w:smartTag w:uri="urn:schemas-microsoft-com:office:smarttags" w:element="PostalCode">
          <w:r w:rsidRPr="003A7A3C">
            <w:rPr>
              <w:rFonts w:ascii="Times New Roman" w:hAnsi="Times New Roman"/>
            </w:rPr>
            <w:t>SY23 3DD</w:t>
          </w:r>
        </w:smartTag>
        <w:r w:rsidRPr="003A7A3C">
          <w:rPr>
            <w:rFonts w:ascii="Times New Roman" w:hAnsi="Times New Roman"/>
          </w:rPr>
          <w:t>,</w:t>
        </w:r>
        <w:r w:rsidRPr="00945267">
          <w:rPr>
            <w:rFonts w:ascii="Times New Roman" w:hAnsi="Times New Roman"/>
          </w:rPr>
          <w:t xml:space="preserve"> </w:t>
        </w:r>
        <w:smartTag w:uri="urn:schemas-microsoft-com:office:smarttags" w:element="country-region">
          <w:r w:rsidRPr="00945267">
            <w:rPr>
              <w:rFonts w:ascii="Times New Roman" w:hAnsi="Times New Roman"/>
            </w:rPr>
            <w:t>United Kingdom</w:t>
          </w:r>
        </w:smartTag>
      </w:smartTag>
    </w:p>
    <w:p w:rsidR="00BC265D" w:rsidRDefault="00BC265D" w:rsidP="003A7A3C">
      <w:pPr>
        <w:pStyle w:val="FootnoteText"/>
        <w:spacing w:after="0" w:line="240" w:lineRule="auto"/>
        <w:ind w:left="115" w:hanging="144"/>
        <w:jc w:val="both"/>
      </w:pPr>
    </w:p>
  </w:footnote>
  <w:footnote w:id="5">
    <w:p w:rsidR="00BC265D" w:rsidRPr="00945267" w:rsidRDefault="00BC265D" w:rsidP="00945267">
      <w:pPr>
        <w:autoSpaceDE w:val="0"/>
        <w:autoSpaceDN w:val="0"/>
        <w:adjustRightInd w:val="0"/>
        <w:jc w:val="both"/>
        <w:rPr>
          <w:sz w:val="20"/>
          <w:szCs w:val="20"/>
        </w:rPr>
      </w:pPr>
      <w:r w:rsidRPr="00945267">
        <w:rPr>
          <w:rStyle w:val="FootnoteReference"/>
          <w:sz w:val="20"/>
          <w:szCs w:val="20"/>
        </w:rPr>
        <w:footnoteRef/>
      </w:r>
      <w:r w:rsidRPr="00945267">
        <w:rPr>
          <w:sz w:val="20"/>
          <w:szCs w:val="20"/>
        </w:rPr>
        <w:t xml:space="preserve"> These barriers are subdivided further into internal resource problems, procedural and distribution difficulties, foreign market factors, knowledge and experience, socio-economic and managerial issues (Kaleka </w:t>
      </w:r>
      <w:r>
        <w:rPr>
          <w:sz w:val="20"/>
          <w:szCs w:val="20"/>
        </w:rPr>
        <w:t>&amp;</w:t>
      </w:r>
      <w:r w:rsidRPr="00945267">
        <w:rPr>
          <w:sz w:val="20"/>
          <w:szCs w:val="20"/>
        </w:rPr>
        <w:t xml:space="preserve"> Katsikeas, 1995; Leonidou, 1995 a, b). </w:t>
      </w:r>
    </w:p>
    <w:p w:rsidR="00BC265D" w:rsidRDefault="00BC265D" w:rsidP="00945267">
      <w:pPr>
        <w:autoSpaceDE w:val="0"/>
        <w:autoSpaceDN w:val="0"/>
        <w:adjustRightInd w:val="0"/>
        <w:jc w:val="both"/>
      </w:pPr>
    </w:p>
  </w:footnote>
  <w:footnote w:id="6">
    <w:p w:rsidR="00BC265D" w:rsidRDefault="00BC265D" w:rsidP="00945267">
      <w:pPr>
        <w:pStyle w:val="FootnoteText"/>
        <w:spacing w:after="0" w:line="240" w:lineRule="auto"/>
        <w:jc w:val="both"/>
      </w:pPr>
      <w:r w:rsidRPr="00945267">
        <w:rPr>
          <w:rStyle w:val="FootnoteReference"/>
          <w:rFonts w:ascii="Times New Roman" w:hAnsi="Times New Roman"/>
        </w:rPr>
        <w:footnoteRef/>
      </w:r>
      <w:r w:rsidRPr="00945267">
        <w:rPr>
          <w:rFonts w:ascii="Times New Roman" w:hAnsi="Times New Roman"/>
        </w:rPr>
        <w:t xml:space="preserve"> Trade data shows that textiles and clothing and footwear and leather exports comprise over one-third of total Indian exports which makes it relevant to analyse exporters’ perceptions from the policy perspective.</w:t>
      </w:r>
    </w:p>
  </w:footnote>
  <w:footnote w:id="7">
    <w:p w:rsidR="00BC265D" w:rsidRDefault="00BC265D" w:rsidP="00945267">
      <w:pPr>
        <w:pStyle w:val="FootnoteText"/>
        <w:spacing w:after="0" w:line="240" w:lineRule="auto"/>
        <w:jc w:val="both"/>
      </w:pPr>
      <w:r w:rsidRPr="00945267">
        <w:rPr>
          <w:rStyle w:val="FootnoteReference"/>
          <w:rFonts w:ascii="Times New Roman" w:hAnsi="Times New Roman"/>
        </w:rPr>
        <w:footnoteRef/>
      </w:r>
      <w:r w:rsidRPr="00945267">
        <w:rPr>
          <w:rFonts w:ascii="Times New Roman" w:hAnsi="Times New Roman"/>
        </w:rPr>
        <w:t xml:space="preserve"> The Southern hub is mainly Tirupur (knitwear cotton), Coimbatore (yarn) Erode (yarn and fabrics), and Bangalore (basic and fashion garments). In the West, the main hub is Mumbai (for made-ups and fashion garments); this is Delhi, Noida and Gurgaon (for fashion and basic garments) in the North.</w:t>
      </w:r>
      <w:r w:rsidRPr="00945267">
        <w:rPr>
          <w:rFonts w:ascii="Times New Roman" w:hAnsi="Times New Roman"/>
          <w:bCs/>
        </w:rPr>
        <w:t xml:space="preserve"> Leather and footwear hubs interviewed were south (Chennai), north (Agra and Kanpur for footwear manufacturing; Delhi) and east (Kolkata - leather accessories).</w:t>
      </w:r>
    </w:p>
  </w:footnote>
  <w:footnote w:id="8">
    <w:p w:rsidR="00BC265D" w:rsidRDefault="00BC265D" w:rsidP="00945267">
      <w:pPr>
        <w:pStyle w:val="Default"/>
        <w:jc w:val="both"/>
      </w:pPr>
      <w:r w:rsidRPr="00945267">
        <w:rPr>
          <w:rStyle w:val="FootnoteReference"/>
          <w:sz w:val="20"/>
          <w:szCs w:val="20"/>
        </w:rPr>
        <w:footnoteRef/>
      </w:r>
      <w:r w:rsidRPr="00945267">
        <w:rPr>
          <w:sz w:val="20"/>
          <w:szCs w:val="20"/>
        </w:rPr>
        <w:t xml:space="preserve"> R. Likert in “A Technique for the Measurement of Attitudes,” Archives of Psychology, No.140, 1932, p.55.</w:t>
      </w:r>
    </w:p>
  </w:footnote>
  <w:footnote w:id="9">
    <w:p w:rsidR="00BC265D" w:rsidRDefault="00BC265D" w:rsidP="00945267">
      <w:pPr>
        <w:pStyle w:val="FootnoteText"/>
        <w:spacing w:after="0" w:line="240" w:lineRule="auto"/>
        <w:jc w:val="both"/>
      </w:pPr>
      <w:r w:rsidRPr="00945267">
        <w:rPr>
          <w:rStyle w:val="FootnoteReference"/>
          <w:rFonts w:ascii="Times New Roman" w:hAnsi="Times New Roman"/>
        </w:rPr>
        <w:footnoteRef/>
      </w:r>
      <w:r w:rsidRPr="00945267">
        <w:rPr>
          <w:rFonts w:ascii="Times New Roman" w:hAnsi="Times New Roman"/>
        </w:rPr>
        <w:t>The review and assessment of the conceptual, methodological, and empirical aspects of available extant research on export problems shows that empirical findings do not yield any specific uniform pattern in the rank order of the various export barriers or problems (Leonidou, 1995b). This is attributed to a large extent to various international, national, industry, and company specific factors, as well as to differences in the methodologies employed by researchers. Research shows that, on the one hand, it is possible to identify a limited number of problems capable of summarising the complete set of impediments to exports. On the other, that there is no consensus about either the number of underlying factors or the exact content of each of these. As a result it is difficult to clusters export problems and this study employs EFA to classify variables.</w:t>
      </w:r>
    </w:p>
  </w:footnote>
  <w:footnote w:id="10">
    <w:p w:rsidR="00BC265D" w:rsidRPr="00945267" w:rsidRDefault="00BC265D" w:rsidP="00945267">
      <w:pPr>
        <w:jc w:val="both"/>
        <w:rPr>
          <w:sz w:val="20"/>
          <w:szCs w:val="20"/>
        </w:rPr>
      </w:pPr>
      <w:r w:rsidRPr="00945267">
        <w:rPr>
          <w:rStyle w:val="FootnoteReference"/>
          <w:sz w:val="20"/>
          <w:szCs w:val="20"/>
        </w:rPr>
        <w:footnoteRef/>
      </w:r>
      <w:r w:rsidRPr="00945267">
        <w:rPr>
          <w:sz w:val="20"/>
          <w:szCs w:val="20"/>
        </w:rPr>
        <w:t xml:space="preserve"> Given there is no clear relationship between export problems and the number of common factors, explanatory factor analysis (EFA) is progressed over the Confirmatory Factor Analysis (CFA) models. EFA uses principal component analysis with Varimax rotation (and Kaiser Normalisation with SPSS v.16). </w:t>
      </w:r>
    </w:p>
    <w:p w:rsidR="00BC265D" w:rsidRDefault="00BC265D" w:rsidP="00945267">
      <w:pPr>
        <w:jc w:val="both"/>
      </w:pPr>
    </w:p>
  </w:footnote>
  <w:footnote w:id="11">
    <w:p w:rsidR="00BC265D" w:rsidRDefault="00BC265D" w:rsidP="00945267">
      <w:pPr>
        <w:pStyle w:val="FootnoteText"/>
        <w:spacing w:after="0" w:line="240" w:lineRule="auto"/>
        <w:jc w:val="both"/>
      </w:pPr>
      <w:r w:rsidRPr="00945267">
        <w:rPr>
          <w:rStyle w:val="FootnoteReference"/>
          <w:rFonts w:ascii="Times New Roman" w:hAnsi="Times New Roman"/>
        </w:rPr>
        <w:footnoteRef/>
      </w:r>
      <w:r w:rsidRPr="00945267">
        <w:rPr>
          <w:rFonts w:ascii="Times New Roman" w:hAnsi="Times New Roman"/>
        </w:rPr>
        <w:t xml:space="preserve"> ALMP was recommended by the International Labour Organisation (ILO). ALMPs have been sub-divided broadly into three categories: direct job creation, labour market training, and job brokerage (improving the match between job seekers and vacancies).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F1603"/>
    <w:multiLevelType w:val="hybridMultilevel"/>
    <w:tmpl w:val="A7CA947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55C686C"/>
    <w:multiLevelType w:val="hybridMultilevel"/>
    <w:tmpl w:val="7600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2A32D6"/>
    <w:multiLevelType w:val="hybridMultilevel"/>
    <w:tmpl w:val="C27CAD58"/>
    <w:lvl w:ilvl="0" w:tplc="8A9E5CCA">
      <w:start w:val="1"/>
      <w:numFmt w:val="upperRoman"/>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E1D5CCB"/>
    <w:multiLevelType w:val="multilevel"/>
    <w:tmpl w:val="2F26486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FE112E5"/>
    <w:multiLevelType w:val="hybridMultilevel"/>
    <w:tmpl w:val="3DE014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D3123E"/>
    <w:multiLevelType w:val="hybridMultilevel"/>
    <w:tmpl w:val="9E9E7E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CBA4321"/>
    <w:multiLevelType w:val="multilevel"/>
    <w:tmpl w:val="2F96DFC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oNotTrackMoves/>
  <w:defaultTabStop w:val="720"/>
  <w:evenAndOddHeaders/>
  <w:drawingGridHorizontalSpacing w:val="119"/>
  <w:drawingGridVerticalSpacing w:val="164"/>
  <w:displayHorizontalDrawingGridEvery w:val="2"/>
  <w:displayVertic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DEA"/>
    <w:rsid w:val="00000034"/>
    <w:rsid w:val="00000819"/>
    <w:rsid w:val="00001B92"/>
    <w:rsid w:val="00002384"/>
    <w:rsid w:val="000027BE"/>
    <w:rsid w:val="00002F54"/>
    <w:rsid w:val="00003043"/>
    <w:rsid w:val="0000350F"/>
    <w:rsid w:val="00003CD6"/>
    <w:rsid w:val="00003F61"/>
    <w:rsid w:val="000047E2"/>
    <w:rsid w:val="000047FC"/>
    <w:rsid w:val="00004A65"/>
    <w:rsid w:val="00004CE0"/>
    <w:rsid w:val="0000550A"/>
    <w:rsid w:val="000058A5"/>
    <w:rsid w:val="00006296"/>
    <w:rsid w:val="00006B06"/>
    <w:rsid w:val="00007366"/>
    <w:rsid w:val="0000737D"/>
    <w:rsid w:val="000076EF"/>
    <w:rsid w:val="00007A7F"/>
    <w:rsid w:val="00007C44"/>
    <w:rsid w:val="00007C79"/>
    <w:rsid w:val="00007EA9"/>
    <w:rsid w:val="00010058"/>
    <w:rsid w:val="0001048F"/>
    <w:rsid w:val="00010503"/>
    <w:rsid w:val="0001099D"/>
    <w:rsid w:val="00010A83"/>
    <w:rsid w:val="000113F6"/>
    <w:rsid w:val="00011796"/>
    <w:rsid w:val="000119E3"/>
    <w:rsid w:val="00011FBC"/>
    <w:rsid w:val="00012C83"/>
    <w:rsid w:val="000132A7"/>
    <w:rsid w:val="000153BB"/>
    <w:rsid w:val="000154FF"/>
    <w:rsid w:val="0001612A"/>
    <w:rsid w:val="0001642C"/>
    <w:rsid w:val="000169E3"/>
    <w:rsid w:val="00016EB8"/>
    <w:rsid w:val="00017603"/>
    <w:rsid w:val="00020976"/>
    <w:rsid w:val="00020B1C"/>
    <w:rsid w:val="000220E6"/>
    <w:rsid w:val="00022620"/>
    <w:rsid w:val="00022E8B"/>
    <w:rsid w:val="000236CA"/>
    <w:rsid w:val="000236CD"/>
    <w:rsid w:val="000237E3"/>
    <w:rsid w:val="00023DED"/>
    <w:rsid w:val="00024126"/>
    <w:rsid w:val="0002477D"/>
    <w:rsid w:val="00024BC3"/>
    <w:rsid w:val="00024E45"/>
    <w:rsid w:val="00025237"/>
    <w:rsid w:val="00025936"/>
    <w:rsid w:val="00025BDA"/>
    <w:rsid w:val="00025DE2"/>
    <w:rsid w:val="000269DE"/>
    <w:rsid w:val="00026AF7"/>
    <w:rsid w:val="0002708B"/>
    <w:rsid w:val="00027C43"/>
    <w:rsid w:val="00027C75"/>
    <w:rsid w:val="00030D25"/>
    <w:rsid w:val="00030F3D"/>
    <w:rsid w:val="00031492"/>
    <w:rsid w:val="00031E43"/>
    <w:rsid w:val="00031E80"/>
    <w:rsid w:val="00032593"/>
    <w:rsid w:val="00032689"/>
    <w:rsid w:val="00032AB0"/>
    <w:rsid w:val="00032F1B"/>
    <w:rsid w:val="00033004"/>
    <w:rsid w:val="0003303B"/>
    <w:rsid w:val="00033D6F"/>
    <w:rsid w:val="00033DA7"/>
    <w:rsid w:val="00034015"/>
    <w:rsid w:val="0003431B"/>
    <w:rsid w:val="000347AD"/>
    <w:rsid w:val="00035243"/>
    <w:rsid w:val="000353DE"/>
    <w:rsid w:val="000356C1"/>
    <w:rsid w:val="000358B0"/>
    <w:rsid w:val="00035AA7"/>
    <w:rsid w:val="00035DD3"/>
    <w:rsid w:val="000360BE"/>
    <w:rsid w:val="0003622B"/>
    <w:rsid w:val="0003654E"/>
    <w:rsid w:val="00036F52"/>
    <w:rsid w:val="00037699"/>
    <w:rsid w:val="00040502"/>
    <w:rsid w:val="000408C4"/>
    <w:rsid w:val="00040EA4"/>
    <w:rsid w:val="00040FDD"/>
    <w:rsid w:val="000411BE"/>
    <w:rsid w:val="0004158D"/>
    <w:rsid w:val="00041CF8"/>
    <w:rsid w:val="00041EBD"/>
    <w:rsid w:val="000425B2"/>
    <w:rsid w:val="00042D0E"/>
    <w:rsid w:val="00042DEB"/>
    <w:rsid w:val="0004385A"/>
    <w:rsid w:val="000439C5"/>
    <w:rsid w:val="00043A05"/>
    <w:rsid w:val="00043AA1"/>
    <w:rsid w:val="00043B04"/>
    <w:rsid w:val="00043FB1"/>
    <w:rsid w:val="00044AAC"/>
    <w:rsid w:val="00044F52"/>
    <w:rsid w:val="00045336"/>
    <w:rsid w:val="000456AF"/>
    <w:rsid w:val="00046575"/>
    <w:rsid w:val="00046B1E"/>
    <w:rsid w:val="000474EF"/>
    <w:rsid w:val="0004774D"/>
    <w:rsid w:val="0004781D"/>
    <w:rsid w:val="00047BD2"/>
    <w:rsid w:val="00047C2E"/>
    <w:rsid w:val="00050273"/>
    <w:rsid w:val="000505F7"/>
    <w:rsid w:val="000508AF"/>
    <w:rsid w:val="00050AAA"/>
    <w:rsid w:val="00051831"/>
    <w:rsid w:val="00051BDF"/>
    <w:rsid w:val="00051C1C"/>
    <w:rsid w:val="00052280"/>
    <w:rsid w:val="00052438"/>
    <w:rsid w:val="0005255B"/>
    <w:rsid w:val="000530BE"/>
    <w:rsid w:val="00053853"/>
    <w:rsid w:val="00053D3B"/>
    <w:rsid w:val="00054249"/>
    <w:rsid w:val="000542AD"/>
    <w:rsid w:val="00054404"/>
    <w:rsid w:val="0005469B"/>
    <w:rsid w:val="00054BAA"/>
    <w:rsid w:val="00054FBF"/>
    <w:rsid w:val="0005521B"/>
    <w:rsid w:val="0005557F"/>
    <w:rsid w:val="00055702"/>
    <w:rsid w:val="00055DE5"/>
    <w:rsid w:val="00055FCD"/>
    <w:rsid w:val="000561EE"/>
    <w:rsid w:val="0005646B"/>
    <w:rsid w:val="000564D7"/>
    <w:rsid w:val="0005678C"/>
    <w:rsid w:val="00056B49"/>
    <w:rsid w:val="00056E74"/>
    <w:rsid w:val="00056FE6"/>
    <w:rsid w:val="0005795C"/>
    <w:rsid w:val="000601E8"/>
    <w:rsid w:val="00060917"/>
    <w:rsid w:val="00061478"/>
    <w:rsid w:val="00061B0F"/>
    <w:rsid w:val="00061DAF"/>
    <w:rsid w:val="00061E86"/>
    <w:rsid w:val="00062226"/>
    <w:rsid w:val="000626BC"/>
    <w:rsid w:val="000628B4"/>
    <w:rsid w:val="00062AFD"/>
    <w:rsid w:val="000648CD"/>
    <w:rsid w:val="00064EFC"/>
    <w:rsid w:val="00064FF8"/>
    <w:rsid w:val="0006509D"/>
    <w:rsid w:val="00065814"/>
    <w:rsid w:val="00065899"/>
    <w:rsid w:val="00065BDD"/>
    <w:rsid w:val="00066249"/>
    <w:rsid w:val="00066843"/>
    <w:rsid w:val="00066BAC"/>
    <w:rsid w:val="00066C06"/>
    <w:rsid w:val="00066DAC"/>
    <w:rsid w:val="00067012"/>
    <w:rsid w:val="000670F8"/>
    <w:rsid w:val="00067551"/>
    <w:rsid w:val="00067BE9"/>
    <w:rsid w:val="000700D5"/>
    <w:rsid w:val="0007078D"/>
    <w:rsid w:val="00070FA0"/>
    <w:rsid w:val="00071034"/>
    <w:rsid w:val="0007168F"/>
    <w:rsid w:val="0007184E"/>
    <w:rsid w:val="00071F87"/>
    <w:rsid w:val="0007260A"/>
    <w:rsid w:val="00072B80"/>
    <w:rsid w:val="00072F08"/>
    <w:rsid w:val="00075011"/>
    <w:rsid w:val="00075104"/>
    <w:rsid w:val="000754DE"/>
    <w:rsid w:val="00075556"/>
    <w:rsid w:val="0007559D"/>
    <w:rsid w:val="0007593B"/>
    <w:rsid w:val="00075A4B"/>
    <w:rsid w:val="00076378"/>
    <w:rsid w:val="00076615"/>
    <w:rsid w:val="00076B26"/>
    <w:rsid w:val="00076FC2"/>
    <w:rsid w:val="0007719D"/>
    <w:rsid w:val="0007779F"/>
    <w:rsid w:val="0007790C"/>
    <w:rsid w:val="00077A39"/>
    <w:rsid w:val="00077AB2"/>
    <w:rsid w:val="00080314"/>
    <w:rsid w:val="00080D80"/>
    <w:rsid w:val="00080DCD"/>
    <w:rsid w:val="000812EE"/>
    <w:rsid w:val="00081CA8"/>
    <w:rsid w:val="00081E9A"/>
    <w:rsid w:val="00081FD3"/>
    <w:rsid w:val="00082051"/>
    <w:rsid w:val="00082B25"/>
    <w:rsid w:val="00082D83"/>
    <w:rsid w:val="00082EE3"/>
    <w:rsid w:val="000830CC"/>
    <w:rsid w:val="000831CF"/>
    <w:rsid w:val="00083715"/>
    <w:rsid w:val="000841C7"/>
    <w:rsid w:val="00084C72"/>
    <w:rsid w:val="00084F0D"/>
    <w:rsid w:val="00085363"/>
    <w:rsid w:val="00086929"/>
    <w:rsid w:val="00086A99"/>
    <w:rsid w:val="000874C4"/>
    <w:rsid w:val="00087F4C"/>
    <w:rsid w:val="00090098"/>
    <w:rsid w:val="00090335"/>
    <w:rsid w:val="00090593"/>
    <w:rsid w:val="00090B78"/>
    <w:rsid w:val="00090EFB"/>
    <w:rsid w:val="00090FA6"/>
    <w:rsid w:val="00091192"/>
    <w:rsid w:val="0009120E"/>
    <w:rsid w:val="000913EB"/>
    <w:rsid w:val="0009193D"/>
    <w:rsid w:val="000921BF"/>
    <w:rsid w:val="00092587"/>
    <w:rsid w:val="00092E33"/>
    <w:rsid w:val="0009323A"/>
    <w:rsid w:val="000932A7"/>
    <w:rsid w:val="000934E2"/>
    <w:rsid w:val="0009394C"/>
    <w:rsid w:val="00094AC9"/>
    <w:rsid w:val="00094DE1"/>
    <w:rsid w:val="00095295"/>
    <w:rsid w:val="00095306"/>
    <w:rsid w:val="0009563C"/>
    <w:rsid w:val="00095684"/>
    <w:rsid w:val="00095D64"/>
    <w:rsid w:val="00095F15"/>
    <w:rsid w:val="00096283"/>
    <w:rsid w:val="00096487"/>
    <w:rsid w:val="0009663E"/>
    <w:rsid w:val="00096D97"/>
    <w:rsid w:val="00097353"/>
    <w:rsid w:val="00097E85"/>
    <w:rsid w:val="000A08B1"/>
    <w:rsid w:val="000A0EB3"/>
    <w:rsid w:val="000A11CF"/>
    <w:rsid w:val="000A15E3"/>
    <w:rsid w:val="000A1AC5"/>
    <w:rsid w:val="000A1AEE"/>
    <w:rsid w:val="000A1DC8"/>
    <w:rsid w:val="000A1DD6"/>
    <w:rsid w:val="000A23E6"/>
    <w:rsid w:val="000A2779"/>
    <w:rsid w:val="000A2A92"/>
    <w:rsid w:val="000A2C8D"/>
    <w:rsid w:val="000A3190"/>
    <w:rsid w:val="000A33DB"/>
    <w:rsid w:val="000A3FBC"/>
    <w:rsid w:val="000A3FD3"/>
    <w:rsid w:val="000A4164"/>
    <w:rsid w:val="000A42C6"/>
    <w:rsid w:val="000A48B3"/>
    <w:rsid w:val="000A4DEA"/>
    <w:rsid w:val="000A58CD"/>
    <w:rsid w:val="000A6226"/>
    <w:rsid w:val="000A69C5"/>
    <w:rsid w:val="000A6BCF"/>
    <w:rsid w:val="000A7936"/>
    <w:rsid w:val="000A79E3"/>
    <w:rsid w:val="000A7B83"/>
    <w:rsid w:val="000B0719"/>
    <w:rsid w:val="000B0722"/>
    <w:rsid w:val="000B08D1"/>
    <w:rsid w:val="000B14F9"/>
    <w:rsid w:val="000B189D"/>
    <w:rsid w:val="000B1999"/>
    <w:rsid w:val="000B1FC9"/>
    <w:rsid w:val="000B26C4"/>
    <w:rsid w:val="000B2C8A"/>
    <w:rsid w:val="000B2E4B"/>
    <w:rsid w:val="000B3040"/>
    <w:rsid w:val="000B3223"/>
    <w:rsid w:val="000B3305"/>
    <w:rsid w:val="000B33AC"/>
    <w:rsid w:val="000B37A4"/>
    <w:rsid w:val="000B3D72"/>
    <w:rsid w:val="000B40BE"/>
    <w:rsid w:val="000B444B"/>
    <w:rsid w:val="000B4A4A"/>
    <w:rsid w:val="000B4CFE"/>
    <w:rsid w:val="000B5119"/>
    <w:rsid w:val="000B619A"/>
    <w:rsid w:val="000B736E"/>
    <w:rsid w:val="000B73D1"/>
    <w:rsid w:val="000B7A16"/>
    <w:rsid w:val="000B7B87"/>
    <w:rsid w:val="000B7D67"/>
    <w:rsid w:val="000C0507"/>
    <w:rsid w:val="000C1859"/>
    <w:rsid w:val="000C1CE1"/>
    <w:rsid w:val="000C1D66"/>
    <w:rsid w:val="000C2023"/>
    <w:rsid w:val="000C2D62"/>
    <w:rsid w:val="000C2E4B"/>
    <w:rsid w:val="000C3034"/>
    <w:rsid w:val="000C3469"/>
    <w:rsid w:val="000C38E0"/>
    <w:rsid w:val="000C3DA1"/>
    <w:rsid w:val="000C41EE"/>
    <w:rsid w:val="000C421E"/>
    <w:rsid w:val="000C437A"/>
    <w:rsid w:val="000C4C04"/>
    <w:rsid w:val="000C4EC8"/>
    <w:rsid w:val="000C5321"/>
    <w:rsid w:val="000C5B19"/>
    <w:rsid w:val="000C5E1D"/>
    <w:rsid w:val="000C5E49"/>
    <w:rsid w:val="000C77A8"/>
    <w:rsid w:val="000C77E5"/>
    <w:rsid w:val="000C7971"/>
    <w:rsid w:val="000C7B6F"/>
    <w:rsid w:val="000C7BCD"/>
    <w:rsid w:val="000D0306"/>
    <w:rsid w:val="000D0B70"/>
    <w:rsid w:val="000D0C11"/>
    <w:rsid w:val="000D1867"/>
    <w:rsid w:val="000D1A29"/>
    <w:rsid w:val="000D1C7E"/>
    <w:rsid w:val="000D1E36"/>
    <w:rsid w:val="000D2837"/>
    <w:rsid w:val="000D29BB"/>
    <w:rsid w:val="000D310A"/>
    <w:rsid w:val="000D3666"/>
    <w:rsid w:val="000D3717"/>
    <w:rsid w:val="000D3A1A"/>
    <w:rsid w:val="000D3BA3"/>
    <w:rsid w:val="000D4A14"/>
    <w:rsid w:val="000D4C9F"/>
    <w:rsid w:val="000D4D42"/>
    <w:rsid w:val="000D59D9"/>
    <w:rsid w:val="000D61C6"/>
    <w:rsid w:val="000D63E5"/>
    <w:rsid w:val="000D6502"/>
    <w:rsid w:val="000D67A3"/>
    <w:rsid w:val="000D69B8"/>
    <w:rsid w:val="000D6B1B"/>
    <w:rsid w:val="000D6B89"/>
    <w:rsid w:val="000D6BA6"/>
    <w:rsid w:val="000D71E8"/>
    <w:rsid w:val="000D7852"/>
    <w:rsid w:val="000D7B13"/>
    <w:rsid w:val="000D7E32"/>
    <w:rsid w:val="000E200C"/>
    <w:rsid w:val="000E235F"/>
    <w:rsid w:val="000E28BF"/>
    <w:rsid w:val="000E2B8D"/>
    <w:rsid w:val="000E3225"/>
    <w:rsid w:val="000E3422"/>
    <w:rsid w:val="000E3BB7"/>
    <w:rsid w:val="000E42AB"/>
    <w:rsid w:val="000E432F"/>
    <w:rsid w:val="000E4A40"/>
    <w:rsid w:val="000E4C4E"/>
    <w:rsid w:val="000E4D30"/>
    <w:rsid w:val="000E4E29"/>
    <w:rsid w:val="000E5069"/>
    <w:rsid w:val="000E50F7"/>
    <w:rsid w:val="000E5176"/>
    <w:rsid w:val="000E532D"/>
    <w:rsid w:val="000E561B"/>
    <w:rsid w:val="000E65E9"/>
    <w:rsid w:val="000E6730"/>
    <w:rsid w:val="000E6E83"/>
    <w:rsid w:val="000E7238"/>
    <w:rsid w:val="000E72CA"/>
    <w:rsid w:val="000E7BB9"/>
    <w:rsid w:val="000E7EE1"/>
    <w:rsid w:val="000F029C"/>
    <w:rsid w:val="000F0FD5"/>
    <w:rsid w:val="000F13FC"/>
    <w:rsid w:val="000F1661"/>
    <w:rsid w:val="000F16DC"/>
    <w:rsid w:val="000F1E7A"/>
    <w:rsid w:val="000F1FE9"/>
    <w:rsid w:val="000F2E05"/>
    <w:rsid w:val="000F2F91"/>
    <w:rsid w:val="000F3155"/>
    <w:rsid w:val="000F31F1"/>
    <w:rsid w:val="000F325F"/>
    <w:rsid w:val="000F39A0"/>
    <w:rsid w:val="000F482B"/>
    <w:rsid w:val="000F4C61"/>
    <w:rsid w:val="000F53B5"/>
    <w:rsid w:val="000F54F7"/>
    <w:rsid w:val="000F574F"/>
    <w:rsid w:val="000F59F6"/>
    <w:rsid w:val="000F5F37"/>
    <w:rsid w:val="000F63F9"/>
    <w:rsid w:val="000F6FD3"/>
    <w:rsid w:val="000F6FF2"/>
    <w:rsid w:val="000F7734"/>
    <w:rsid w:val="00100441"/>
    <w:rsid w:val="0010047C"/>
    <w:rsid w:val="001006C3"/>
    <w:rsid w:val="001013FB"/>
    <w:rsid w:val="001016D5"/>
    <w:rsid w:val="00101C35"/>
    <w:rsid w:val="00101EE1"/>
    <w:rsid w:val="00102109"/>
    <w:rsid w:val="00102194"/>
    <w:rsid w:val="001028B6"/>
    <w:rsid w:val="00102FB1"/>
    <w:rsid w:val="00103049"/>
    <w:rsid w:val="001030B9"/>
    <w:rsid w:val="00103571"/>
    <w:rsid w:val="0010362B"/>
    <w:rsid w:val="00103760"/>
    <w:rsid w:val="00103D6E"/>
    <w:rsid w:val="00103DC2"/>
    <w:rsid w:val="001040C3"/>
    <w:rsid w:val="0010428E"/>
    <w:rsid w:val="0010446C"/>
    <w:rsid w:val="00104EAF"/>
    <w:rsid w:val="0010590A"/>
    <w:rsid w:val="0010594F"/>
    <w:rsid w:val="00105C2E"/>
    <w:rsid w:val="00105FBA"/>
    <w:rsid w:val="0010610B"/>
    <w:rsid w:val="001062D4"/>
    <w:rsid w:val="00106405"/>
    <w:rsid w:val="00106421"/>
    <w:rsid w:val="001071C8"/>
    <w:rsid w:val="00107B58"/>
    <w:rsid w:val="00110364"/>
    <w:rsid w:val="00110FE7"/>
    <w:rsid w:val="0011121A"/>
    <w:rsid w:val="001114B8"/>
    <w:rsid w:val="0011152C"/>
    <w:rsid w:val="00111923"/>
    <w:rsid w:val="00111AAF"/>
    <w:rsid w:val="00111E7E"/>
    <w:rsid w:val="00111EE3"/>
    <w:rsid w:val="00112260"/>
    <w:rsid w:val="001124BB"/>
    <w:rsid w:val="001124D1"/>
    <w:rsid w:val="001134B3"/>
    <w:rsid w:val="001135E9"/>
    <w:rsid w:val="00113B8B"/>
    <w:rsid w:val="00113E24"/>
    <w:rsid w:val="0011452B"/>
    <w:rsid w:val="001149E9"/>
    <w:rsid w:val="00114B24"/>
    <w:rsid w:val="00114B96"/>
    <w:rsid w:val="0011571B"/>
    <w:rsid w:val="00115A4B"/>
    <w:rsid w:val="00115B29"/>
    <w:rsid w:val="00115E9F"/>
    <w:rsid w:val="00116A7D"/>
    <w:rsid w:val="00116AFA"/>
    <w:rsid w:val="00117063"/>
    <w:rsid w:val="00117105"/>
    <w:rsid w:val="0011716C"/>
    <w:rsid w:val="001173C5"/>
    <w:rsid w:val="0011766E"/>
    <w:rsid w:val="001176F1"/>
    <w:rsid w:val="001202AE"/>
    <w:rsid w:val="0012047B"/>
    <w:rsid w:val="00120B70"/>
    <w:rsid w:val="00121779"/>
    <w:rsid w:val="00121ADB"/>
    <w:rsid w:val="001223DC"/>
    <w:rsid w:val="00122AD3"/>
    <w:rsid w:val="00122D8B"/>
    <w:rsid w:val="00122DE1"/>
    <w:rsid w:val="00122E03"/>
    <w:rsid w:val="0012327C"/>
    <w:rsid w:val="0012352A"/>
    <w:rsid w:val="0012374C"/>
    <w:rsid w:val="00123CAE"/>
    <w:rsid w:val="00123DFF"/>
    <w:rsid w:val="00123E31"/>
    <w:rsid w:val="00123EFE"/>
    <w:rsid w:val="00123FB4"/>
    <w:rsid w:val="001245D0"/>
    <w:rsid w:val="00124BEE"/>
    <w:rsid w:val="00124CBC"/>
    <w:rsid w:val="00124E85"/>
    <w:rsid w:val="00124F45"/>
    <w:rsid w:val="001252E2"/>
    <w:rsid w:val="001256DC"/>
    <w:rsid w:val="00125868"/>
    <w:rsid w:val="00125BFF"/>
    <w:rsid w:val="00127030"/>
    <w:rsid w:val="00127670"/>
    <w:rsid w:val="00127832"/>
    <w:rsid w:val="0012786F"/>
    <w:rsid w:val="00127BCE"/>
    <w:rsid w:val="00127DF3"/>
    <w:rsid w:val="001304A2"/>
    <w:rsid w:val="0013055D"/>
    <w:rsid w:val="001305BA"/>
    <w:rsid w:val="00130ADD"/>
    <w:rsid w:val="00130FC7"/>
    <w:rsid w:val="001310DC"/>
    <w:rsid w:val="00131100"/>
    <w:rsid w:val="0013127D"/>
    <w:rsid w:val="00131A33"/>
    <w:rsid w:val="00131E6D"/>
    <w:rsid w:val="0013222B"/>
    <w:rsid w:val="00132278"/>
    <w:rsid w:val="00132486"/>
    <w:rsid w:val="0013249D"/>
    <w:rsid w:val="00132A33"/>
    <w:rsid w:val="00132F5F"/>
    <w:rsid w:val="001331B8"/>
    <w:rsid w:val="00133545"/>
    <w:rsid w:val="00133954"/>
    <w:rsid w:val="00133A55"/>
    <w:rsid w:val="00133B4A"/>
    <w:rsid w:val="00134368"/>
    <w:rsid w:val="001349F4"/>
    <w:rsid w:val="00134DD0"/>
    <w:rsid w:val="001356D1"/>
    <w:rsid w:val="001356D8"/>
    <w:rsid w:val="00135EAA"/>
    <w:rsid w:val="00135ED0"/>
    <w:rsid w:val="0013605D"/>
    <w:rsid w:val="0013625A"/>
    <w:rsid w:val="00136565"/>
    <w:rsid w:val="00137923"/>
    <w:rsid w:val="00137B0B"/>
    <w:rsid w:val="00137B0D"/>
    <w:rsid w:val="00137FD7"/>
    <w:rsid w:val="001407D8"/>
    <w:rsid w:val="00140F56"/>
    <w:rsid w:val="001419EE"/>
    <w:rsid w:val="001421E9"/>
    <w:rsid w:val="0014221E"/>
    <w:rsid w:val="00142493"/>
    <w:rsid w:val="00142DEA"/>
    <w:rsid w:val="00143161"/>
    <w:rsid w:val="00143488"/>
    <w:rsid w:val="00143A1B"/>
    <w:rsid w:val="00143FBD"/>
    <w:rsid w:val="00144079"/>
    <w:rsid w:val="001454C8"/>
    <w:rsid w:val="00145556"/>
    <w:rsid w:val="001458F4"/>
    <w:rsid w:val="00145AAD"/>
    <w:rsid w:val="00145AEE"/>
    <w:rsid w:val="001461C6"/>
    <w:rsid w:val="001469CE"/>
    <w:rsid w:val="001469ED"/>
    <w:rsid w:val="00146B24"/>
    <w:rsid w:val="00146BED"/>
    <w:rsid w:val="001470A4"/>
    <w:rsid w:val="001473C6"/>
    <w:rsid w:val="00147A43"/>
    <w:rsid w:val="00147AF2"/>
    <w:rsid w:val="00150055"/>
    <w:rsid w:val="001502C7"/>
    <w:rsid w:val="00150938"/>
    <w:rsid w:val="00151348"/>
    <w:rsid w:val="001519D3"/>
    <w:rsid w:val="00151F09"/>
    <w:rsid w:val="0015206C"/>
    <w:rsid w:val="001526CE"/>
    <w:rsid w:val="0015271E"/>
    <w:rsid w:val="00152DF7"/>
    <w:rsid w:val="001532CA"/>
    <w:rsid w:val="0015335B"/>
    <w:rsid w:val="001536F5"/>
    <w:rsid w:val="00153EEA"/>
    <w:rsid w:val="00153EFA"/>
    <w:rsid w:val="00154515"/>
    <w:rsid w:val="00154CA4"/>
    <w:rsid w:val="00154DE2"/>
    <w:rsid w:val="00155795"/>
    <w:rsid w:val="00156143"/>
    <w:rsid w:val="001566C3"/>
    <w:rsid w:val="0015695F"/>
    <w:rsid w:val="00156B65"/>
    <w:rsid w:val="00156D9B"/>
    <w:rsid w:val="0015712F"/>
    <w:rsid w:val="00157203"/>
    <w:rsid w:val="00157446"/>
    <w:rsid w:val="001576CE"/>
    <w:rsid w:val="0015773C"/>
    <w:rsid w:val="001578CE"/>
    <w:rsid w:val="001579B9"/>
    <w:rsid w:val="00157A95"/>
    <w:rsid w:val="00157D0D"/>
    <w:rsid w:val="001600FA"/>
    <w:rsid w:val="00160C5D"/>
    <w:rsid w:val="00160CB2"/>
    <w:rsid w:val="00160F93"/>
    <w:rsid w:val="00161115"/>
    <w:rsid w:val="00161B71"/>
    <w:rsid w:val="00161CD1"/>
    <w:rsid w:val="001628EA"/>
    <w:rsid w:val="001635AC"/>
    <w:rsid w:val="001636FC"/>
    <w:rsid w:val="00163C55"/>
    <w:rsid w:val="0016401E"/>
    <w:rsid w:val="00164425"/>
    <w:rsid w:val="00164D16"/>
    <w:rsid w:val="00165373"/>
    <w:rsid w:val="001654CB"/>
    <w:rsid w:val="00166134"/>
    <w:rsid w:val="00166252"/>
    <w:rsid w:val="0016647F"/>
    <w:rsid w:val="001665A8"/>
    <w:rsid w:val="0016671B"/>
    <w:rsid w:val="00166903"/>
    <w:rsid w:val="001674E7"/>
    <w:rsid w:val="00167681"/>
    <w:rsid w:val="0016775D"/>
    <w:rsid w:val="0016793A"/>
    <w:rsid w:val="00167BB6"/>
    <w:rsid w:val="00170CD6"/>
    <w:rsid w:val="00171375"/>
    <w:rsid w:val="00171AF8"/>
    <w:rsid w:val="00171FF8"/>
    <w:rsid w:val="001723B9"/>
    <w:rsid w:val="001725D4"/>
    <w:rsid w:val="00173212"/>
    <w:rsid w:val="0017364C"/>
    <w:rsid w:val="00173A1C"/>
    <w:rsid w:val="00175674"/>
    <w:rsid w:val="0017567C"/>
    <w:rsid w:val="0017590E"/>
    <w:rsid w:val="00175C11"/>
    <w:rsid w:val="00176817"/>
    <w:rsid w:val="001770C6"/>
    <w:rsid w:val="00177460"/>
    <w:rsid w:val="001776B1"/>
    <w:rsid w:val="00177715"/>
    <w:rsid w:val="0017785F"/>
    <w:rsid w:val="00177AA3"/>
    <w:rsid w:val="00180872"/>
    <w:rsid w:val="0018107C"/>
    <w:rsid w:val="001816AC"/>
    <w:rsid w:val="00181D45"/>
    <w:rsid w:val="001829D4"/>
    <w:rsid w:val="00182E51"/>
    <w:rsid w:val="00182EE1"/>
    <w:rsid w:val="00183213"/>
    <w:rsid w:val="001836ED"/>
    <w:rsid w:val="001837E7"/>
    <w:rsid w:val="00183A2D"/>
    <w:rsid w:val="0018468C"/>
    <w:rsid w:val="00184909"/>
    <w:rsid w:val="001852B9"/>
    <w:rsid w:val="0018567E"/>
    <w:rsid w:val="0018589A"/>
    <w:rsid w:val="001858DB"/>
    <w:rsid w:val="00186342"/>
    <w:rsid w:val="00186695"/>
    <w:rsid w:val="00186786"/>
    <w:rsid w:val="00187855"/>
    <w:rsid w:val="00187D11"/>
    <w:rsid w:val="00190B99"/>
    <w:rsid w:val="00190EA3"/>
    <w:rsid w:val="00191541"/>
    <w:rsid w:val="001917D5"/>
    <w:rsid w:val="00191F58"/>
    <w:rsid w:val="00192662"/>
    <w:rsid w:val="00192677"/>
    <w:rsid w:val="00192883"/>
    <w:rsid w:val="001928B2"/>
    <w:rsid w:val="00192C90"/>
    <w:rsid w:val="00192F5C"/>
    <w:rsid w:val="00193518"/>
    <w:rsid w:val="001936AB"/>
    <w:rsid w:val="00193775"/>
    <w:rsid w:val="00193D35"/>
    <w:rsid w:val="00193E9E"/>
    <w:rsid w:val="001943C5"/>
    <w:rsid w:val="001945F4"/>
    <w:rsid w:val="00194FF0"/>
    <w:rsid w:val="0019587E"/>
    <w:rsid w:val="00195CB2"/>
    <w:rsid w:val="00195CDF"/>
    <w:rsid w:val="00196D64"/>
    <w:rsid w:val="001977A7"/>
    <w:rsid w:val="00197DA9"/>
    <w:rsid w:val="001A07E8"/>
    <w:rsid w:val="001A098F"/>
    <w:rsid w:val="001A0AF9"/>
    <w:rsid w:val="001A1E4D"/>
    <w:rsid w:val="001A204A"/>
    <w:rsid w:val="001A2EB6"/>
    <w:rsid w:val="001A31B0"/>
    <w:rsid w:val="001A38BC"/>
    <w:rsid w:val="001A3C5F"/>
    <w:rsid w:val="001A3F63"/>
    <w:rsid w:val="001A4137"/>
    <w:rsid w:val="001A4492"/>
    <w:rsid w:val="001A49CD"/>
    <w:rsid w:val="001A508F"/>
    <w:rsid w:val="001A5668"/>
    <w:rsid w:val="001A5A4A"/>
    <w:rsid w:val="001A5E80"/>
    <w:rsid w:val="001A6183"/>
    <w:rsid w:val="001A6A5C"/>
    <w:rsid w:val="001A7421"/>
    <w:rsid w:val="001A7A54"/>
    <w:rsid w:val="001A7D6F"/>
    <w:rsid w:val="001A7E80"/>
    <w:rsid w:val="001A7EBF"/>
    <w:rsid w:val="001B05B9"/>
    <w:rsid w:val="001B0C73"/>
    <w:rsid w:val="001B1B04"/>
    <w:rsid w:val="001B1E14"/>
    <w:rsid w:val="001B1EE1"/>
    <w:rsid w:val="001B1F84"/>
    <w:rsid w:val="001B1FFD"/>
    <w:rsid w:val="001B23DD"/>
    <w:rsid w:val="001B24B4"/>
    <w:rsid w:val="001B263C"/>
    <w:rsid w:val="001B488C"/>
    <w:rsid w:val="001B4A40"/>
    <w:rsid w:val="001B4FB8"/>
    <w:rsid w:val="001B5E39"/>
    <w:rsid w:val="001B6193"/>
    <w:rsid w:val="001B6A18"/>
    <w:rsid w:val="001B6C68"/>
    <w:rsid w:val="001B6F93"/>
    <w:rsid w:val="001B7244"/>
    <w:rsid w:val="001B7803"/>
    <w:rsid w:val="001B7A44"/>
    <w:rsid w:val="001B7A9E"/>
    <w:rsid w:val="001B7F4D"/>
    <w:rsid w:val="001C07C2"/>
    <w:rsid w:val="001C162F"/>
    <w:rsid w:val="001C16AB"/>
    <w:rsid w:val="001C25FD"/>
    <w:rsid w:val="001C273F"/>
    <w:rsid w:val="001C28EB"/>
    <w:rsid w:val="001C2EE5"/>
    <w:rsid w:val="001C3679"/>
    <w:rsid w:val="001C36A0"/>
    <w:rsid w:val="001C3824"/>
    <w:rsid w:val="001C4524"/>
    <w:rsid w:val="001C46C6"/>
    <w:rsid w:val="001C4921"/>
    <w:rsid w:val="001C4A68"/>
    <w:rsid w:val="001C4AAE"/>
    <w:rsid w:val="001C5131"/>
    <w:rsid w:val="001C54DC"/>
    <w:rsid w:val="001C55E6"/>
    <w:rsid w:val="001C640F"/>
    <w:rsid w:val="001C6838"/>
    <w:rsid w:val="001C69FC"/>
    <w:rsid w:val="001C6D2D"/>
    <w:rsid w:val="001C7677"/>
    <w:rsid w:val="001C76A7"/>
    <w:rsid w:val="001C77F7"/>
    <w:rsid w:val="001C79C4"/>
    <w:rsid w:val="001C7FC4"/>
    <w:rsid w:val="001D04C8"/>
    <w:rsid w:val="001D05DC"/>
    <w:rsid w:val="001D0736"/>
    <w:rsid w:val="001D0D21"/>
    <w:rsid w:val="001D12C3"/>
    <w:rsid w:val="001D17EA"/>
    <w:rsid w:val="001D1803"/>
    <w:rsid w:val="001D1D73"/>
    <w:rsid w:val="001D2036"/>
    <w:rsid w:val="001D233A"/>
    <w:rsid w:val="001D2670"/>
    <w:rsid w:val="001D2981"/>
    <w:rsid w:val="001D2E0B"/>
    <w:rsid w:val="001D32EF"/>
    <w:rsid w:val="001D367A"/>
    <w:rsid w:val="001D36DA"/>
    <w:rsid w:val="001D41E5"/>
    <w:rsid w:val="001D4311"/>
    <w:rsid w:val="001D450D"/>
    <w:rsid w:val="001D477D"/>
    <w:rsid w:val="001D47F5"/>
    <w:rsid w:val="001D4A52"/>
    <w:rsid w:val="001D4BD1"/>
    <w:rsid w:val="001D4CEF"/>
    <w:rsid w:val="001D4ECD"/>
    <w:rsid w:val="001D506B"/>
    <w:rsid w:val="001D54D6"/>
    <w:rsid w:val="001D6442"/>
    <w:rsid w:val="001D653D"/>
    <w:rsid w:val="001D7447"/>
    <w:rsid w:val="001D7BFA"/>
    <w:rsid w:val="001D7E7D"/>
    <w:rsid w:val="001D7EB0"/>
    <w:rsid w:val="001E01AA"/>
    <w:rsid w:val="001E08AC"/>
    <w:rsid w:val="001E0980"/>
    <w:rsid w:val="001E0C7C"/>
    <w:rsid w:val="001E1B00"/>
    <w:rsid w:val="001E1ECE"/>
    <w:rsid w:val="001E2478"/>
    <w:rsid w:val="001E261C"/>
    <w:rsid w:val="001E2E11"/>
    <w:rsid w:val="001E324E"/>
    <w:rsid w:val="001E3494"/>
    <w:rsid w:val="001E3F09"/>
    <w:rsid w:val="001E444B"/>
    <w:rsid w:val="001E498D"/>
    <w:rsid w:val="001E5B36"/>
    <w:rsid w:val="001E61E7"/>
    <w:rsid w:val="001E625A"/>
    <w:rsid w:val="001E65F8"/>
    <w:rsid w:val="001E68ED"/>
    <w:rsid w:val="001E72F4"/>
    <w:rsid w:val="001E7493"/>
    <w:rsid w:val="001E75E4"/>
    <w:rsid w:val="001E75F5"/>
    <w:rsid w:val="001E7CD9"/>
    <w:rsid w:val="001F0038"/>
    <w:rsid w:val="001F014B"/>
    <w:rsid w:val="001F0209"/>
    <w:rsid w:val="001F0601"/>
    <w:rsid w:val="001F071C"/>
    <w:rsid w:val="001F0A90"/>
    <w:rsid w:val="001F100A"/>
    <w:rsid w:val="001F14F0"/>
    <w:rsid w:val="001F1788"/>
    <w:rsid w:val="001F1ADB"/>
    <w:rsid w:val="001F2A80"/>
    <w:rsid w:val="001F2B19"/>
    <w:rsid w:val="001F2B46"/>
    <w:rsid w:val="001F2B7F"/>
    <w:rsid w:val="001F2CC7"/>
    <w:rsid w:val="001F2D1B"/>
    <w:rsid w:val="001F2EC7"/>
    <w:rsid w:val="001F332B"/>
    <w:rsid w:val="001F332F"/>
    <w:rsid w:val="001F3D62"/>
    <w:rsid w:val="001F3FBE"/>
    <w:rsid w:val="001F421B"/>
    <w:rsid w:val="001F43F5"/>
    <w:rsid w:val="001F4815"/>
    <w:rsid w:val="001F5D76"/>
    <w:rsid w:val="001F5E22"/>
    <w:rsid w:val="001F6250"/>
    <w:rsid w:val="001F64DF"/>
    <w:rsid w:val="001F682A"/>
    <w:rsid w:val="001F6869"/>
    <w:rsid w:val="001F74BD"/>
    <w:rsid w:val="001F7BE3"/>
    <w:rsid w:val="002003EC"/>
    <w:rsid w:val="00200629"/>
    <w:rsid w:val="00200C09"/>
    <w:rsid w:val="002023CA"/>
    <w:rsid w:val="0020245C"/>
    <w:rsid w:val="002029F7"/>
    <w:rsid w:val="00202C2D"/>
    <w:rsid w:val="00202D78"/>
    <w:rsid w:val="00202FBB"/>
    <w:rsid w:val="002031D0"/>
    <w:rsid w:val="002031E1"/>
    <w:rsid w:val="002033C4"/>
    <w:rsid w:val="002038AC"/>
    <w:rsid w:val="00203D59"/>
    <w:rsid w:val="00203DC2"/>
    <w:rsid w:val="00203DFD"/>
    <w:rsid w:val="00203F55"/>
    <w:rsid w:val="00204383"/>
    <w:rsid w:val="00204987"/>
    <w:rsid w:val="002054A2"/>
    <w:rsid w:val="00205EF6"/>
    <w:rsid w:val="002060EA"/>
    <w:rsid w:val="00207798"/>
    <w:rsid w:val="00207CD3"/>
    <w:rsid w:val="00207D2B"/>
    <w:rsid w:val="00210993"/>
    <w:rsid w:val="00210C94"/>
    <w:rsid w:val="00210D71"/>
    <w:rsid w:val="0021103A"/>
    <w:rsid w:val="00212335"/>
    <w:rsid w:val="00212C2C"/>
    <w:rsid w:val="00212E3A"/>
    <w:rsid w:val="002134E3"/>
    <w:rsid w:val="00213510"/>
    <w:rsid w:val="0021383E"/>
    <w:rsid w:val="00213958"/>
    <w:rsid w:val="0021442C"/>
    <w:rsid w:val="00214B01"/>
    <w:rsid w:val="00214DF9"/>
    <w:rsid w:val="00215180"/>
    <w:rsid w:val="0021552B"/>
    <w:rsid w:val="0021577C"/>
    <w:rsid w:val="00215B56"/>
    <w:rsid w:val="002161AC"/>
    <w:rsid w:val="002168A3"/>
    <w:rsid w:val="00216B30"/>
    <w:rsid w:val="002172E6"/>
    <w:rsid w:val="0021798C"/>
    <w:rsid w:val="002179F8"/>
    <w:rsid w:val="00217DF7"/>
    <w:rsid w:val="00217F61"/>
    <w:rsid w:val="0022042C"/>
    <w:rsid w:val="0022045F"/>
    <w:rsid w:val="002207BF"/>
    <w:rsid w:val="002208B1"/>
    <w:rsid w:val="00221157"/>
    <w:rsid w:val="002214CF"/>
    <w:rsid w:val="00221687"/>
    <w:rsid w:val="00221D85"/>
    <w:rsid w:val="00222320"/>
    <w:rsid w:val="00222484"/>
    <w:rsid w:val="002225D0"/>
    <w:rsid w:val="002235E3"/>
    <w:rsid w:val="00223C49"/>
    <w:rsid w:val="002241B8"/>
    <w:rsid w:val="00224964"/>
    <w:rsid w:val="002249BC"/>
    <w:rsid w:val="00224A87"/>
    <w:rsid w:val="00224BBC"/>
    <w:rsid w:val="00224C15"/>
    <w:rsid w:val="00224D10"/>
    <w:rsid w:val="002256CE"/>
    <w:rsid w:val="00225BB2"/>
    <w:rsid w:val="00225DA7"/>
    <w:rsid w:val="00226310"/>
    <w:rsid w:val="0022634B"/>
    <w:rsid w:val="0022650A"/>
    <w:rsid w:val="00226A95"/>
    <w:rsid w:val="00226EA5"/>
    <w:rsid w:val="0022701A"/>
    <w:rsid w:val="002276EC"/>
    <w:rsid w:val="00227FD2"/>
    <w:rsid w:val="002304A8"/>
    <w:rsid w:val="002306B1"/>
    <w:rsid w:val="00230928"/>
    <w:rsid w:val="00231547"/>
    <w:rsid w:val="0023184D"/>
    <w:rsid w:val="0023223C"/>
    <w:rsid w:val="002324AB"/>
    <w:rsid w:val="00232B62"/>
    <w:rsid w:val="0023300D"/>
    <w:rsid w:val="00233489"/>
    <w:rsid w:val="00233610"/>
    <w:rsid w:val="0023362B"/>
    <w:rsid w:val="00234FBF"/>
    <w:rsid w:val="002356AB"/>
    <w:rsid w:val="002358AF"/>
    <w:rsid w:val="00235935"/>
    <w:rsid w:val="00235D2C"/>
    <w:rsid w:val="002363D3"/>
    <w:rsid w:val="002364B9"/>
    <w:rsid w:val="002369EE"/>
    <w:rsid w:val="00236A1F"/>
    <w:rsid w:val="00236B09"/>
    <w:rsid w:val="00236CA7"/>
    <w:rsid w:val="00237453"/>
    <w:rsid w:val="00237D10"/>
    <w:rsid w:val="00240803"/>
    <w:rsid w:val="0024093D"/>
    <w:rsid w:val="00240981"/>
    <w:rsid w:val="00241212"/>
    <w:rsid w:val="002413C0"/>
    <w:rsid w:val="002417D9"/>
    <w:rsid w:val="0024268A"/>
    <w:rsid w:val="00242D54"/>
    <w:rsid w:val="00242E57"/>
    <w:rsid w:val="00243BEB"/>
    <w:rsid w:val="00244146"/>
    <w:rsid w:val="00244A52"/>
    <w:rsid w:val="00244A95"/>
    <w:rsid w:val="00244E96"/>
    <w:rsid w:val="00245066"/>
    <w:rsid w:val="00245387"/>
    <w:rsid w:val="00245507"/>
    <w:rsid w:val="00245980"/>
    <w:rsid w:val="00245B32"/>
    <w:rsid w:val="00246048"/>
    <w:rsid w:val="00246914"/>
    <w:rsid w:val="00246A8E"/>
    <w:rsid w:val="00247434"/>
    <w:rsid w:val="002477AE"/>
    <w:rsid w:val="00247F9E"/>
    <w:rsid w:val="00250611"/>
    <w:rsid w:val="00250AB3"/>
    <w:rsid w:val="00250CA1"/>
    <w:rsid w:val="00251EB1"/>
    <w:rsid w:val="002524A8"/>
    <w:rsid w:val="00252A7B"/>
    <w:rsid w:val="00252CA0"/>
    <w:rsid w:val="00253219"/>
    <w:rsid w:val="00253296"/>
    <w:rsid w:val="002535CA"/>
    <w:rsid w:val="0025435C"/>
    <w:rsid w:val="00254BFD"/>
    <w:rsid w:val="00254EEC"/>
    <w:rsid w:val="0025555D"/>
    <w:rsid w:val="00256045"/>
    <w:rsid w:val="002564F1"/>
    <w:rsid w:val="00257590"/>
    <w:rsid w:val="0025779A"/>
    <w:rsid w:val="002577AB"/>
    <w:rsid w:val="002577DF"/>
    <w:rsid w:val="002603FB"/>
    <w:rsid w:val="00260664"/>
    <w:rsid w:val="0026136F"/>
    <w:rsid w:val="00261384"/>
    <w:rsid w:val="00261526"/>
    <w:rsid w:val="00261719"/>
    <w:rsid w:val="00262886"/>
    <w:rsid w:val="0026296D"/>
    <w:rsid w:val="00262D0A"/>
    <w:rsid w:val="002630D6"/>
    <w:rsid w:val="00263382"/>
    <w:rsid w:val="0026349A"/>
    <w:rsid w:val="002638F7"/>
    <w:rsid w:val="002639EF"/>
    <w:rsid w:val="00264004"/>
    <w:rsid w:val="00264343"/>
    <w:rsid w:val="00264709"/>
    <w:rsid w:val="00264E4D"/>
    <w:rsid w:val="00264ECE"/>
    <w:rsid w:val="00265139"/>
    <w:rsid w:val="00265C8E"/>
    <w:rsid w:val="00265DE6"/>
    <w:rsid w:val="002661BB"/>
    <w:rsid w:val="00266E88"/>
    <w:rsid w:val="0026766A"/>
    <w:rsid w:val="002679B4"/>
    <w:rsid w:val="00270005"/>
    <w:rsid w:val="002702EA"/>
    <w:rsid w:val="002703A7"/>
    <w:rsid w:val="0027047A"/>
    <w:rsid w:val="002717F8"/>
    <w:rsid w:val="00271C22"/>
    <w:rsid w:val="00274172"/>
    <w:rsid w:val="002741FF"/>
    <w:rsid w:val="00274ED4"/>
    <w:rsid w:val="00275881"/>
    <w:rsid w:val="0027683B"/>
    <w:rsid w:val="00276A01"/>
    <w:rsid w:val="00276D6A"/>
    <w:rsid w:val="00277BEA"/>
    <w:rsid w:val="00277C08"/>
    <w:rsid w:val="002809CE"/>
    <w:rsid w:val="00280C55"/>
    <w:rsid w:val="00280EB4"/>
    <w:rsid w:val="002813F3"/>
    <w:rsid w:val="00281888"/>
    <w:rsid w:val="00281B1C"/>
    <w:rsid w:val="002821FF"/>
    <w:rsid w:val="002824C3"/>
    <w:rsid w:val="002824EE"/>
    <w:rsid w:val="00282A76"/>
    <w:rsid w:val="00283474"/>
    <w:rsid w:val="00283827"/>
    <w:rsid w:val="00283A38"/>
    <w:rsid w:val="00284487"/>
    <w:rsid w:val="002844A6"/>
    <w:rsid w:val="00284966"/>
    <w:rsid w:val="0028525C"/>
    <w:rsid w:val="00285ACA"/>
    <w:rsid w:val="00285E2D"/>
    <w:rsid w:val="002860FE"/>
    <w:rsid w:val="002863D8"/>
    <w:rsid w:val="00286DED"/>
    <w:rsid w:val="00286E59"/>
    <w:rsid w:val="00287D28"/>
    <w:rsid w:val="0029003C"/>
    <w:rsid w:val="0029101B"/>
    <w:rsid w:val="0029106A"/>
    <w:rsid w:val="002916C2"/>
    <w:rsid w:val="00291DA4"/>
    <w:rsid w:val="00291DB6"/>
    <w:rsid w:val="00292073"/>
    <w:rsid w:val="00292ADF"/>
    <w:rsid w:val="00293227"/>
    <w:rsid w:val="00293616"/>
    <w:rsid w:val="002936FB"/>
    <w:rsid w:val="00293CB1"/>
    <w:rsid w:val="00294055"/>
    <w:rsid w:val="002940FA"/>
    <w:rsid w:val="00294736"/>
    <w:rsid w:val="002948F5"/>
    <w:rsid w:val="00294F0A"/>
    <w:rsid w:val="0029537A"/>
    <w:rsid w:val="00295891"/>
    <w:rsid w:val="00295AAF"/>
    <w:rsid w:val="00295F57"/>
    <w:rsid w:val="00296BBF"/>
    <w:rsid w:val="00296CF4"/>
    <w:rsid w:val="00297358"/>
    <w:rsid w:val="002A045D"/>
    <w:rsid w:val="002A0520"/>
    <w:rsid w:val="002A0BA8"/>
    <w:rsid w:val="002A1212"/>
    <w:rsid w:val="002A19F9"/>
    <w:rsid w:val="002A1DEC"/>
    <w:rsid w:val="002A2155"/>
    <w:rsid w:val="002A241E"/>
    <w:rsid w:val="002A2695"/>
    <w:rsid w:val="002A26C0"/>
    <w:rsid w:val="002A2FC1"/>
    <w:rsid w:val="002A2FF1"/>
    <w:rsid w:val="002A3BDD"/>
    <w:rsid w:val="002A3C41"/>
    <w:rsid w:val="002A3FFD"/>
    <w:rsid w:val="002A41DB"/>
    <w:rsid w:val="002A4284"/>
    <w:rsid w:val="002A4472"/>
    <w:rsid w:val="002A4F88"/>
    <w:rsid w:val="002A5AE9"/>
    <w:rsid w:val="002A5BC0"/>
    <w:rsid w:val="002A5E71"/>
    <w:rsid w:val="002A5F16"/>
    <w:rsid w:val="002A615E"/>
    <w:rsid w:val="002A6523"/>
    <w:rsid w:val="002A66B0"/>
    <w:rsid w:val="002A6D91"/>
    <w:rsid w:val="002A7359"/>
    <w:rsid w:val="002A77CE"/>
    <w:rsid w:val="002B16C5"/>
    <w:rsid w:val="002B1898"/>
    <w:rsid w:val="002B1A39"/>
    <w:rsid w:val="002B23AD"/>
    <w:rsid w:val="002B2D44"/>
    <w:rsid w:val="002B31E8"/>
    <w:rsid w:val="002B32AB"/>
    <w:rsid w:val="002B36F8"/>
    <w:rsid w:val="002B3DDE"/>
    <w:rsid w:val="002B3E74"/>
    <w:rsid w:val="002B3FD9"/>
    <w:rsid w:val="002B40D9"/>
    <w:rsid w:val="002B423C"/>
    <w:rsid w:val="002B4255"/>
    <w:rsid w:val="002B4A4F"/>
    <w:rsid w:val="002B4AEE"/>
    <w:rsid w:val="002B4FBF"/>
    <w:rsid w:val="002B576D"/>
    <w:rsid w:val="002B61BF"/>
    <w:rsid w:val="002B66CB"/>
    <w:rsid w:val="002B67A7"/>
    <w:rsid w:val="002B7265"/>
    <w:rsid w:val="002B72B8"/>
    <w:rsid w:val="002B7737"/>
    <w:rsid w:val="002B7C62"/>
    <w:rsid w:val="002B7F82"/>
    <w:rsid w:val="002C035D"/>
    <w:rsid w:val="002C0494"/>
    <w:rsid w:val="002C0524"/>
    <w:rsid w:val="002C0530"/>
    <w:rsid w:val="002C070C"/>
    <w:rsid w:val="002C0B27"/>
    <w:rsid w:val="002C12A7"/>
    <w:rsid w:val="002C1388"/>
    <w:rsid w:val="002C19B6"/>
    <w:rsid w:val="002C1F2E"/>
    <w:rsid w:val="002C2059"/>
    <w:rsid w:val="002C2216"/>
    <w:rsid w:val="002C2683"/>
    <w:rsid w:val="002C2A07"/>
    <w:rsid w:val="002C30BC"/>
    <w:rsid w:val="002C3176"/>
    <w:rsid w:val="002C31BD"/>
    <w:rsid w:val="002C33DC"/>
    <w:rsid w:val="002C427F"/>
    <w:rsid w:val="002C47FF"/>
    <w:rsid w:val="002C4960"/>
    <w:rsid w:val="002C4FCF"/>
    <w:rsid w:val="002C5072"/>
    <w:rsid w:val="002C5090"/>
    <w:rsid w:val="002C56DB"/>
    <w:rsid w:val="002C57F2"/>
    <w:rsid w:val="002C59CA"/>
    <w:rsid w:val="002C6530"/>
    <w:rsid w:val="002C66C3"/>
    <w:rsid w:val="002C6726"/>
    <w:rsid w:val="002C7593"/>
    <w:rsid w:val="002C796E"/>
    <w:rsid w:val="002C7C88"/>
    <w:rsid w:val="002C7D84"/>
    <w:rsid w:val="002C7F35"/>
    <w:rsid w:val="002D0CFA"/>
    <w:rsid w:val="002D0DAB"/>
    <w:rsid w:val="002D1074"/>
    <w:rsid w:val="002D1C79"/>
    <w:rsid w:val="002D25BF"/>
    <w:rsid w:val="002D2A1D"/>
    <w:rsid w:val="002D32BA"/>
    <w:rsid w:val="002D3812"/>
    <w:rsid w:val="002D3E51"/>
    <w:rsid w:val="002D4013"/>
    <w:rsid w:val="002D4284"/>
    <w:rsid w:val="002D43C7"/>
    <w:rsid w:val="002D4C2B"/>
    <w:rsid w:val="002D6300"/>
    <w:rsid w:val="002D6B3C"/>
    <w:rsid w:val="002D73BB"/>
    <w:rsid w:val="002E1079"/>
    <w:rsid w:val="002E1291"/>
    <w:rsid w:val="002E14A3"/>
    <w:rsid w:val="002E15F3"/>
    <w:rsid w:val="002E16D9"/>
    <w:rsid w:val="002E178B"/>
    <w:rsid w:val="002E23CD"/>
    <w:rsid w:val="002E25EE"/>
    <w:rsid w:val="002E285B"/>
    <w:rsid w:val="002E31FF"/>
    <w:rsid w:val="002E38DC"/>
    <w:rsid w:val="002E397E"/>
    <w:rsid w:val="002E3DA3"/>
    <w:rsid w:val="002E5C13"/>
    <w:rsid w:val="002E5D1E"/>
    <w:rsid w:val="002E6A33"/>
    <w:rsid w:val="002E6A72"/>
    <w:rsid w:val="002E6E63"/>
    <w:rsid w:val="002E753D"/>
    <w:rsid w:val="002E7608"/>
    <w:rsid w:val="002E79DC"/>
    <w:rsid w:val="002E7E57"/>
    <w:rsid w:val="002F0222"/>
    <w:rsid w:val="002F08AC"/>
    <w:rsid w:val="002F0EBD"/>
    <w:rsid w:val="002F15EE"/>
    <w:rsid w:val="002F18C2"/>
    <w:rsid w:val="002F1924"/>
    <w:rsid w:val="002F1CA2"/>
    <w:rsid w:val="002F29AB"/>
    <w:rsid w:val="002F3251"/>
    <w:rsid w:val="002F332A"/>
    <w:rsid w:val="002F3413"/>
    <w:rsid w:val="002F4276"/>
    <w:rsid w:val="002F4614"/>
    <w:rsid w:val="002F4642"/>
    <w:rsid w:val="002F51CF"/>
    <w:rsid w:val="002F5222"/>
    <w:rsid w:val="002F5A52"/>
    <w:rsid w:val="002F5AAA"/>
    <w:rsid w:val="002F6247"/>
    <w:rsid w:val="002F6BEA"/>
    <w:rsid w:val="002F71BB"/>
    <w:rsid w:val="002F7284"/>
    <w:rsid w:val="002F73BB"/>
    <w:rsid w:val="002F77D7"/>
    <w:rsid w:val="002F7954"/>
    <w:rsid w:val="0030004C"/>
    <w:rsid w:val="00300714"/>
    <w:rsid w:val="00300D21"/>
    <w:rsid w:val="00301652"/>
    <w:rsid w:val="003019F6"/>
    <w:rsid w:val="00302097"/>
    <w:rsid w:val="00302A1B"/>
    <w:rsid w:val="00303C72"/>
    <w:rsid w:val="00303DCF"/>
    <w:rsid w:val="003041DD"/>
    <w:rsid w:val="003042AC"/>
    <w:rsid w:val="003045A1"/>
    <w:rsid w:val="00304BF0"/>
    <w:rsid w:val="00304D8F"/>
    <w:rsid w:val="00304E78"/>
    <w:rsid w:val="00304F61"/>
    <w:rsid w:val="003051C2"/>
    <w:rsid w:val="003055B3"/>
    <w:rsid w:val="00305C7A"/>
    <w:rsid w:val="0030649F"/>
    <w:rsid w:val="003074B3"/>
    <w:rsid w:val="003076DB"/>
    <w:rsid w:val="00307955"/>
    <w:rsid w:val="00307A3D"/>
    <w:rsid w:val="00307EB5"/>
    <w:rsid w:val="0031024B"/>
    <w:rsid w:val="003105DD"/>
    <w:rsid w:val="00310835"/>
    <w:rsid w:val="00310AEC"/>
    <w:rsid w:val="00311033"/>
    <w:rsid w:val="00311169"/>
    <w:rsid w:val="0031155C"/>
    <w:rsid w:val="0031165F"/>
    <w:rsid w:val="00311679"/>
    <w:rsid w:val="00311908"/>
    <w:rsid w:val="00311AC4"/>
    <w:rsid w:val="00311D7E"/>
    <w:rsid w:val="003120AC"/>
    <w:rsid w:val="003121E4"/>
    <w:rsid w:val="003125B1"/>
    <w:rsid w:val="003125E8"/>
    <w:rsid w:val="0031372D"/>
    <w:rsid w:val="00314036"/>
    <w:rsid w:val="00314306"/>
    <w:rsid w:val="00314778"/>
    <w:rsid w:val="003150CE"/>
    <w:rsid w:val="003155F9"/>
    <w:rsid w:val="00316010"/>
    <w:rsid w:val="003161AC"/>
    <w:rsid w:val="00316B28"/>
    <w:rsid w:val="00316BF8"/>
    <w:rsid w:val="003172BF"/>
    <w:rsid w:val="003174A4"/>
    <w:rsid w:val="003175AD"/>
    <w:rsid w:val="0031784E"/>
    <w:rsid w:val="00317C26"/>
    <w:rsid w:val="00320075"/>
    <w:rsid w:val="003200B5"/>
    <w:rsid w:val="003201E4"/>
    <w:rsid w:val="0032057F"/>
    <w:rsid w:val="00320768"/>
    <w:rsid w:val="00320A40"/>
    <w:rsid w:val="003210BF"/>
    <w:rsid w:val="00321625"/>
    <w:rsid w:val="00321CA1"/>
    <w:rsid w:val="00322418"/>
    <w:rsid w:val="00322941"/>
    <w:rsid w:val="00322959"/>
    <w:rsid w:val="00322ADC"/>
    <w:rsid w:val="00322D65"/>
    <w:rsid w:val="003230E0"/>
    <w:rsid w:val="003236C1"/>
    <w:rsid w:val="00323E19"/>
    <w:rsid w:val="00323F87"/>
    <w:rsid w:val="00324077"/>
    <w:rsid w:val="00324C6D"/>
    <w:rsid w:val="00324DE6"/>
    <w:rsid w:val="00324F3A"/>
    <w:rsid w:val="00325609"/>
    <w:rsid w:val="00325F0B"/>
    <w:rsid w:val="00326018"/>
    <w:rsid w:val="003262A2"/>
    <w:rsid w:val="00326E66"/>
    <w:rsid w:val="003270FF"/>
    <w:rsid w:val="00327688"/>
    <w:rsid w:val="00327AE4"/>
    <w:rsid w:val="00327CFB"/>
    <w:rsid w:val="00330468"/>
    <w:rsid w:val="0033070C"/>
    <w:rsid w:val="003308AE"/>
    <w:rsid w:val="0033098F"/>
    <w:rsid w:val="00330E7F"/>
    <w:rsid w:val="003315DB"/>
    <w:rsid w:val="00331652"/>
    <w:rsid w:val="0033189A"/>
    <w:rsid w:val="003320F1"/>
    <w:rsid w:val="00332E2A"/>
    <w:rsid w:val="00333282"/>
    <w:rsid w:val="00333F0E"/>
    <w:rsid w:val="00333FAE"/>
    <w:rsid w:val="00333FFE"/>
    <w:rsid w:val="003340B3"/>
    <w:rsid w:val="0033420A"/>
    <w:rsid w:val="003346F0"/>
    <w:rsid w:val="0033472B"/>
    <w:rsid w:val="003349B6"/>
    <w:rsid w:val="003357F1"/>
    <w:rsid w:val="003359E3"/>
    <w:rsid w:val="00335A5E"/>
    <w:rsid w:val="00335A90"/>
    <w:rsid w:val="0033624E"/>
    <w:rsid w:val="00336D77"/>
    <w:rsid w:val="00337998"/>
    <w:rsid w:val="00337A22"/>
    <w:rsid w:val="00337B77"/>
    <w:rsid w:val="00337ED7"/>
    <w:rsid w:val="003401E4"/>
    <w:rsid w:val="00340344"/>
    <w:rsid w:val="00340A35"/>
    <w:rsid w:val="00340A54"/>
    <w:rsid w:val="00340C4A"/>
    <w:rsid w:val="0034118C"/>
    <w:rsid w:val="00341509"/>
    <w:rsid w:val="003417F1"/>
    <w:rsid w:val="00341A4A"/>
    <w:rsid w:val="00341D58"/>
    <w:rsid w:val="00341F61"/>
    <w:rsid w:val="00341FE8"/>
    <w:rsid w:val="00342786"/>
    <w:rsid w:val="003438CE"/>
    <w:rsid w:val="0034406E"/>
    <w:rsid w:val="0034514A"/>
    <w:rsid w:val="0034637B"/>
    <w:rsid w:val="003465D1"/>
    <w:rsid w:val="00347476"/>
    <w:rsid w:val="00347653"/>
    <w:rsid w:val="00347947"/>
    <w:rsid w:val="00347984"/>
    <w:rsid w:val="00347A03"/>
    <w:rsid w:val="00347A06"/>
    <w:rsid w:val="00347A53"/>
    <w:rsid w:val="00350208"/>
    <w:rsid w:val="0035055B"/>
    <w:rsid w:val="003512D7"/>
    <w:rsid w:val="0035165B"/>
    <w:rsid w:val="00351EF2"/>
    <w:rsid w:val="0035205C"/>
    <w:rsid w:val="00352242"/>
    <w:rsid w:val="00352750"/>
    <w:rsid w:val="003536FE"/>
    <w:rsid w:val="0035397F"/>
    <w:rsid w:val="00353BA5"/>
    <w:rsid w:val="00354426"/>
    <w:rsid w:val="00354657"/>
    <w:rsid w:val="0035538C"/>
    <w:rsid w:val="00355622"/>
    <w:rsid w:val="00355DBA"/>
    <w:rsid w:val="00355DED"/>
    <w:rsid w:val="003569EC"/>
    <w:rsid w:val="00356E50"/>
    <w:rsid w:val="003570E2"/>
    <w:rsid w:val="0035714F"/>
    <w:rsid w:val="00357581"/>
    <w:rsid w:val="003575D9"/>
    <w:rsid w:val="00357764"/>
    <w:rsid w:val="00357D59"/>
    <w:rsid w:val="00357E7A"/>
    <w:rsid w:val="00360734"/>
    <w:rsid w:val="003608B5"/>
    <w:rsid w:val="003609EB"/>
    <w:rsid w:val="0036199D"/>
    <w:rsid w:val="00361B98"/>
    <w:rsid w:val="00361D8C"/>
    <w:rsid w:val="003629A0"/>
    <w:rsid w:val="00362BAC"/>
    <w:rsid w:val="003631FA"/>
    <w:rsid w:val="00363A82"/>
    <w:rsid w:val="00363EB9"/>
    <w:rsid w:val="00365619"/>
    <w:rsid w:val="00365743"/>
    <w:rsid w:val="003659CB"/>
    <w:rsid w:val="00365E08"/>
    <w:rsid w:val="003661DF"/>
    <w:rsid w:val="003663AB"/>
    <w:rsid w:val="00366B03"/>
    <w:rsid w:val="00370677"/>
    <w:rsid w:val="0037067A"/>
    <w:rsid w:val="003706B7"/>
    <w:rsid w:val="00370B5C"/>
    <w:rsid w:val="0037123F"/>
    <w:rsid w:val="003718FC"/>
    <w:rsid w:val="00371D84"/>
    <w:rsid w:val="003720C7"/>
    <w:rsid w:val="00372486"/>
    <w:rsid w:val="00372769"/>
    <w:rsid w:val="003729DB"/>
    <w:rsid w:val="00372DE5"/>
    <w:rsid w:val="0037318F"/>
    <w:rsid w:val="00373354"/>
    <w:rsid w:val="00374749"/>
    <w:rsid w:val="003748E3"/>
    <w:rsid w:val="00374AA8"/>
    <w:rsid w:val="00374C2B"/>
    <w:rsid w:val="003756D3"/>
    <w:rsid w:val="00375C12"/>
    <w:rsid w:val="003765C4"/>
    <w:rsid w:val="00376B0B"/>
    <w:rsid w:val="00376F38"/>
    <w:rsid w:val="003777E5"/>
    <w:rsid w:val="00377E3A"/>
    <w:rsid w:val="00381396"/>
    <w:rsid w:val="0038139A"/>
    <w:rsid w:val="00381853"/>
    <w:rsid w:val="00381B21"/>
    <w:rsid w:val="00381E8F"/>
    <w:rsid w:val="003820B4"/>
    <w:rsid w:val="003821C3"/>
    <w:rsid w:val="003824BA"/>
    <w:rsid w:val="00383790"/>
    <w:rsid w:val="00383853"/>
    <w:rsid w:val="00383B21"/>
    <w:rsid w:val="00384024"/>
    <w:rsid w:val="003842EA"/>
    <w:rsid w:val="00384F32"/>
    <w:rsid w:val="00384F62"/>
    <w:rsid w:val="00385107"/>
    <w:rsid w:val="003854B5"/>
    <w:rsid w:val="00385A74"/>
    <w:rsid w:val="00385C90"/>
    <w:rsid w:val="00385D3B"/>
    <w:rsid w:val="0038643B"/>
    <w:rsid w:val="0038697F"/>
    <w:rsid w:val="00386B7F"/>
    <w:rsid w:val="00387317"/>
    <w:rsid w:val="00387DF1"/>
    <w:rsid w:val="00390549"/>
    <w:rsid w:val="003909B6"/>
    <w:rsid w:val="003918C4"/>
    <w:rsid w:val="00391D78"/>
    <w:rsid w:val="003928BF"/>
    <w:rsid w:val="0039292B"/>
    <w:rsid w:val="003932BB"/>
    <w:rsid w:val="003933BD"/>
    <w:rsid w:val="003945D9"/>
    <w:rsid w:val="00394672"/>
    <w:rsid w:val="00395521"/>
    <w:rsid w:val="00395E35"/>
    <w:rsid w:val="00395E3A"/>
    <w:rsid w:val="0039645E"/>
    <w:rsid w:val="003964E0"/>
    <w:rsid w:val="0039667D"/>
    <w:rsid w:val="003966A6"/>
    <w:rsid w:val="00396962"/>
    <w:rsid w:val="00396A35"/>
    <w:rsid w:val="00397651"/>
    <w:rsid w:val="003979A1"/>
    <w:rsid w:val="003A01E4"/>
    <w:rsid w:val="003A0482"/>
    <w:rsid w:val="003A0495"/>
    <w:rsid w:val="003A061F"/>
    <w:rsid w:val="003A145B"/>
    <w:rsid w:val="003A238D"/>
    <w:rsid w:val="003A2D86"/>
    <w:rsid w:val="003A339E"/>
    <w:rsid w:val="003A351A"/>
    <w:rsid w:val="003A3810"/>
    <w:rsid w:val="003A3BB2"/>
    <w:rsid w:val="003A3F70"/>
    <w:rsid w:val="003A47FD"/>
    <w:rsid w:val="003A5352"/>
    <w:rsid w:val="003A5438"/>
    <w:rsid w:val="003A5A70"/>
    <w:rsid w:val="003A5BDD"/>
    <w:rsid w:val="003A6125"/>
    <w:rsid w:val="003A6232"/>
    <w:rsid w:val="003A6B50"/>
    <w:rsid w:val="003A747C"/>
    <w:rsid w:val="003A75AD"/>
    <w:rsid w:val="003A79FA"/>
    <w:rsid w:val="003A7A3C"/>
    <w:rsid w:val="003A7B86"/>
    <w:rsid w:val="003A7D58"/>
    <w:rsid w:val="003B05DA"/>
    <w:rsid w:val="003B0C1E"/>
    <w:rsid w:val="003B0C8F"/>
    <w:rsid w:val="003B1479"/>
    <w:rsid w:val="003B15CA"/>
    <w:rsid w:val="003B176C"/>
    <w:rsid w:val="003B24A7"/>
    <w:rsid w:val="003B273C"/>
    <w:rsid w:val="003B288E"/>
    <w:rsid w:val="003B35F2"/>
    <w:rsid w:val="003B3722"/>
    <w:rsid w:val="003B3AE5"/>
    <w:rsid w:val="003B3BD6"/>
    <w:rsid w:val="003B43B3"/>
    <w:rsid w:val="003B4ADC"/>
    <w:rsid w:val="003B4EA4"/>
    <w:rsid w:val="003B5328"/>
    <w:rsid w:val="003B539D"/>
    <w:rsid w:val="003B5CD4"/>
    <w:rsid w:val="003B62BD"/>
    <w:rsid w:val="003B7301"/>
    <w:rsid w:val="003B7517"/>
    <w:rsid w:val="003B770B"/>
    <w:rsid w:val="003B7772"/>
    <w:rsid w:val="003B7998"/>
    <w:rsid w:val="003B7CCA"/>
    <w:rsid w:val="003B7F65"/>
    <w:rsid w:val="003B7F83"/>
    <w:rsid w:val="003C01C1"/>
    <w:rsid w:val="003C0534"/>
    <w:rsid w:val="003C099B"/>
    <w:rsid w:val="003C0A20"/>
    <w:rsid w:val="003C0E73"/>
    <w:rsid w:val="003C0F65"/>
    <w:rsid w:val="003C11BB"/>
    <w:rsid w:val="003C18BB"/>
    <w:rsid w:val="003C1987"/>
    <w:rsid w:val="003C1BCA"/>
    <w:rsid w:val="003C20F0"/>
    <w:rsid w:val="003C2552"/>
    <w:rsid w:val="003C2603"/>
    <w:rsid w:val="003C2806"/>
    <w:rsid w:val="003C2FAC"/>
    <w:rsid w:val="003C31BC"/>
    <w:rsid w:val="003C31F4"/>
    <w:rsid w:val="003C3525"/>
    <w:rsid w:val="003C3D82"/>
    <w:rsid w:val="003C49C5"/>
    <w:rsid w:val="003C4B25"/>
    <w:rsid w:val="003C51A2"/>
    <w:rsid w:val="003C5DDD"/>
    <w:rsid w:val="003C62B6"/>
    <w:rsid w:val="003C663C"/>
    <w:rsid w:val="003C67CE"/>
    <w:rsid w:val="003C69A5"/>
    <w:rsid w:val="003C71F3"/>
    <w:rsid w:val="003D0456"/>
    <w:rsid w:val="003D09DA"/>
    <w:rsid w:val="003D0A34"/>
    <w:rsid w:val="003D0B77"/>
    <w:rsid w:val="003D1081"/>
    <w:rsid w:val="003D138D"/>
    <w:rsid w:val="003D16B4"/>
    <w:rsid w:val="003D1947"/>
    <w:rsid w:val="003D1ABA"/>
    <w:rsid w:val="003D1B3B"/>
    <w:rsid w:val="003D1E52"/>
    <w:rsid w:val="003D1E94"/>
    <w:rsid w:val="003D20AB"/>
    <w:rsid w:val="003D23F0"/>
    <w:rsid w:val="003D25F7"/>
    <w:rsid w:val="003D293B"/>
    <w:rsid w:val="003D2D7A"/>
    <w:rsid w:val="003D2E8F"/>
    <w:rsid w:val="003D2F2E"/>
    <w:rsid w:val="003D2F8F"/>
    <w:rsid w:val="003D3171"/>
    <w:rsid w:val="003D32D6"/>
    <w:rsid w:val="003D38AC"/>
    <w:rsid w:val="003D3992"/>
    <w:rsid w:val="003D3B84"/>
    <w:rsid w:val="003D3D41"/>
    <w:rsid w:val="003D4D62"/>
    <w:rsid w:val="003D4F6F"/>
    <w:rsid w:val="003D57A6"/>
    <w:rsid w:val="003D5E11"/>
    <w:rsid w:val="003D76FD"/>
    <w:rsid w:val="003D79AF"/>
    <w:rsid w:val="003D7C6A"/>
    <w:rsid w:val="003E0149"/>
    <w:rsid w:val="003E0594"/>
    <w:rsid w:val="003E07F9"/>
    <w:rsid w:val="003E0AAA"/>
    <w:rsid w:val="003E0B8D"/>
    <w:rsid w:val="003E11F6"/>
    <w:rsid w:val="003E1210"/>
    <w:rsid w:val="003E12DB"/>
    <w:rsid w:val="003E15DC"/>
    <w:rsid w:val="003E20F5"/>
    <w:rsid w:val="003E27DB"/>
    <w:rsid w:val="003E2B45"/>
    <w:rsid w:val="003E2DAD"/>
    <w:rsid w:val="003E37CD"/>
    <w:rsid w:val="003E385E"/>
    <w:rsid w:val="003E4589"/>
    <w:rsid w:val="003E47BB"/>
    <w:rsid w:val="003E4929"/>
    <w:rsid w:val="003E5BF7"/>
    <w:rsid w:val="003E5C1A"/>
    <w:rsid w:val="003E5DF6"/>
    <w:rsid w:val="003E6144"/>
    <w:rsid w:val="003E67C8"/>
    <w:rsid w:val="003E6AF1"/>
    <w:rsid w:val="003E73F8"/>
    <w:rsid w:val="003E74CA"/>
    <w:rsid w:val="003E7B2E"/>
    <w:rsid w:val="003E7D10"/>
    <w:rsid w:val="003E7E76"/>
    <w:rsid w:val="003F011C"/>
    <w:rsid w:val="003F019A"/>
    <w:rsid w:val="003F0418"/>
    <w:rsid w:val="003F0593"/>
    <w:rsid w:val="003F1A59"/>
    <w:rsid w:val="003F1BB1"/>
    <w:rsid w:val="003F229D"/>
    <w:rsid w:val="003F3188"/>
    <w:rsid w:val="003F354C"/>
    <w:rsid w:val="003F3CB8"/>
    <w:rsid w:val="003F3DDB"/>
    <w:rsid w:val="003F3F49"/>
    <w:rsid w:val="003F4180"/>
    <w:rsid w:val="003F42B3"/>
    <w:rsid w:val="003F46ED"/>
    <w:rsid w:val="003F5044"/>
    <w:rsid w:val="003F51BC"/>
    <w:rsid w:val="003F5321"/>
    <w:rsid w:val="003F5420"/>
    <w:rsid w:val="003F5682"/>
    <w:rsid w:val="003F56BB"/>
    <w:rsid w:val="003F648E"/>
    <w:rsid w:val="003F7405"/>
    <w:rsid w:val="003F78C4"/>
    <w:rsid w:val="003F7EEA"/>
    <w:rsid w:val="003F7F98"/>
    <w:rsid w:val="004005E8"/>
    <w:rsid w:val="00400A84"/>
    <w:rsid w:val="00400AAC"/>
    <w:rsid w:val="004015FC"/>
    <w:rsid w:val="00401BC7"/>
    <w:rsid w:val="004028A9"/>
    <w:rsid w:val="004033EC"/>
    <w:rsid w:val="00403491"/>
    <w:rsid w:val="00403870"/>
    <w:rsid w:val="004039EC"/>
    <w:rsid w:val="0040443D"/>
    <w:rsid w:val="004046DC"/>
    <w:rsid w:val="00404BCF"/>
    <w:rsid w:val="00404C77"/>
    <w:rsid w:val="00404D23"/>
    <w:rsid w:val="00404E54"/>
    <w:rsid w:val="00404E83"/>
    <w:rsid w:val="00405165"/>
    <w:rsid w:val="00405807"/>
    <w:rsid w:val="00405998"/>
    <w:rsid w:val="00405E16"/>
    <w:rsid w:val="00406292"/>
    <w:rsid w:val="00406511"/>
    <w:rsid w:val="004066ED"/>
    <w:rsid w:val="004068E2"/>
    <w:rsid w:val="00406C71"/>
    <w:rsid w:val="0040713C"/>
    <w:rsid w:val="00410529"/>
    <w:rsid w:val="00410B81"/>
    <w:rsid w:val="004114F0"/>
    <w:rsid w:val="00411612"/>
    <w:rsid w:val="00411625"/>
    <w:rsid w:val="00411BA1"/>
    <w:rsid w:val="004122AE"/>
    <w:rsid w:val="00412528"/>
    <w:rsid w:val="0041260F"/>
    <w:rsid w:val="004131B4"/>
    <w:rsid w:val="00413446"/>
    <w:rsid w:val="00413560"/>
    <w:rsid w:val="0041428A"/>
    <w:rsid w:val="00414298"/>
    <w:rsid w:val="00414A8B"/>
    <w:rsid w:val="00414C6F"/>
    <w:rsid w:val="00414D29"/>
    <w:rsid w:val="00414F17"/>
    <w:rsid w:val="004159A6"/>
    <w:rsid w:val="00415C60"/>
    <w:rsid w:val="00416B11"/>
    <w:rsid w:val="00416BF1"/>
    <w:rsid w:val="00416DB4"/>
    <w:rsid w:val="00416EF6"/>
    <w:rsid w:val="00417376"/>
    <w:rsid w:val="0041758B"/>
    <w:rsid w:val="00417C0D"/>
    <w:rsid w:val="00420124"/>
    <w:rsid w:val="00420327"/>
    <w:rsid w:val="0042107B"/>
    <w:rsid w:val="00421181"/>
    <w:rsid w:val="0042135C"/>
    <w:rsid w:val="00421A23"/>
    <w:rsid w:val="00421ABA"/>
    <w:rsid w:val="004220A2"/>
    <w:rsid w:val="004224FF"/>
    <w:rsid w:val="004226A5"/>
    <w:rsid w:val="00422AD2"/>
    <w:rsid w:val="00422CA4"/>
    <w:rsid w:val="00422D8A"/>
    <w:rsid w:val="004230D5"/>
    <w:rsid w:val="0042384F"/>
    <w:rsid w:val="00423C2C"/>
    <w:rsid w:val="00423D19"/>
    <w:rsid w:val="00424369"/>
    <w:rsid w:val="00424CA2"/>
    <w:rsid w:val="00424F7A"/>
    <w:rsid w:val="00424FA5"/>
    <w:rsid w:val="004254F1"/>
    <w:rsid w:val="00425C87"/>
    <w:rsid w:val="004271A1"/>
    <w:rsid w:val="004272A0"/>
    <w:rsid w:val="00427739"/>
    <w:rsid w:val="004277CC"/>
    <w:rsid w:val="0042780B"/>
    <w:rsid w:val="00430911"/>
    <w:rsid w:val="00430A99"/>
    <w:rsid w:val="00430FA9"/>
    <w:rsid w:val="004315C9"/>
    <w:rsid w:val="00431C73"/>
    <w:rsid w:val="00431D91"/>
    <w:rsid w:val="00431DE6"/>
    <w:rsid w:val="0043221A"/>
    <w:rsid w:val="00432367"/>
    <w:rsid w:val="004329B9"/>
    <w:rsid w:val="00433EB4"/>
    <w:rsid w:val="00434210"/>
    <w:rsid w:val="00434478"/>
    <w:rsid w:val="00434640"/>
    <w:rsid w:val="00434BD1"/>
    <w:rsid w:val="00434C95"/>
    <w:rsid w:val="0043502B"/>
    <w:rsid w:val="0043508C"/>
    <w:rsid w:val="004355A3"/>
    <w:rsid w:val="00435B2A"/>
    <w:rsid w:val="00436103"/>
    <w:rsid w:val="004363FF"/>
    <w:rsid w:val="00436496"/>
    <w:rsid w:val="004364F1"/>
    <w:rsid w:val="004369BB"/>
    <w:rsid w:val="0043713D"/>
    <w:rsid w:val="00437972"/>
    <w:rsid w:val="00437A67"/>
    <w:rsid w:val="00437C1D"/>
    <w:rsid w:val="00440230"/>
    <w:rsid w:val="0044030A"/>
    <w:rsid w:val="0044037C"/>
    <w:rsid w:val="004405A2"/>
    <w:rsid w:val="00440C80"/>
    <w:rsid w:val="00440F2F"/>
    <w:rsid w:val="00441362"/>
    <w:rsid w:val="00441C3F"/>
    <w:rsid w:val="00441F3B"/>
    <w:rsid w:val="004420E1"/>
    <w:rsid w:val="0044214B"/>
    <w:rsid w:val="0044281B"/>
    <w:rsid w:val="00442832"/>
    <w:rsid w:val="00442E1E"/>
    <w:rsid w:val="004437E2"/>
    <w:rsid w:val="00443F3F"/>
    <w:rsid w:val="0044480F"/>
    <w:rsid w:val="004448AD"/>
    <w:rsid w:val="00445D18"/>
    <w:rsid w:val="00445D80"/>
    <w:rsid w:val="00446025"/>
    <w:rsid w:val="00446D8B"/>
    <w:rsid w:val="00447073"/>
    <w:rsid w:val="004471EF"/>
    <w:rsid w:val="004477A4"/>
    <w:rsid w:val="00447A21"/>
    <w:rsid w:val="00447F4B"/>
    <w:rsid w:val="00447FD3"/>
    <w:rsid w:val="004503A4"/>
    <w:rsid w:val="00450465"/>
    <w:rsid w:val="00450F26"/>
    <w:rsid w:val="00451211"/>
    <w:rsid w:val="00451C71"/>
    <w:rsid w:val="00451DDD"/>
    <w:rsid w:val="00452279"/>
    <w:rsid w:val="004524A0"/>
    <w:rsid w:val="00452A4A"/>
    <w:rsid w:val="00453482"/>
    <w:rsid w:val="004536D2"/>
    <w:rsid w:val="00453759"/>
    <w:rsid w:val="00453D8D"/>
    <w:rsid w:val="00454009"/>
    <w:rsid w:val="004541F1"/>
    <w:rsid w:val="00454394"/>
    <w:rsid w:val="00454408"/>
    <w:rsid w:val="0045528B"/>
    <w:rsid w:val="004558E6"/>
    <w:rsid w:val="00456318"/>
    <w:rsid w:val="00456A10"/>
    <w:rsid w:val="00457228"/>
    <w:rsid w:val="0045779A"/>
    <w:rsid w:val="00457E73"/>
    <w:rsid w:val="00460408"/>
    <w:rsid w:val="00460484"/>
    <w:rsid w:val="00460799"/>
    <w:rsid w:val="00460BFD"/>
    <w:rsid w:val="00461350"/>
    <w:rsid w:val="00462074"/>
    <w:rsid w:val="0046230C"/>
    <w:rsid w:val="004626F9"/>
    <w:rsid w:val="0046283E"/>
    <w:rsid w:val="0046366F"/>
    <w:rsid w:val="004638CA"/>
    <w:rsid w:val="00463FBE"/>
    <w:rsid w:val="0046408B"/>
    <w:rsid w:val="00464146"/>
    <w:rsid w:val="0046417F"/>
    <w:rsid w:val="004649CD"/>
    <w:rsid w:val="00465199"/>
    <w:rsid w:val="00465379"/>
    <w:rsid w:val="00465CD4"/>
    <w:rsid w:val="00465D37"/>
    <w:rsid w:val="00466055"/>
    <w:rsid w:val="004661A9"/>
    <w:rsid w:val="0046642C"/>
    <w:rsid w:val="00466B82"/>
    <w:rsid w:val="004671FB"/>
    <w:rsid w:val="004675E5"/>
    <w:rsid w:val="0046764C"/>
    <w:rsid w:val="0046764D"/>
    <w:rsid w:val="004706B5"/>
    <w:rsid w:val="00470B08"/>
    <w:rsid w:val="00471767"/>
    <w:rsid w:val="00471E78"/>
    <w:rsid w:val="00472AD0"/>
    <w:rsid w:val="00472D1E"/>
    <w:rsid w:val="0047314C"/>
    <w:rsid w:val="004731A4"/>
    <w:rsid w:val="004731D0"/>
    <w:rsid w:val="00473660"/>
    <w:rsid w:val="00473672"/>
    <w:rsid w:val="004742A6"/>
    <w:rsid w:val="00474C6F"/>
    <w:rsid w:val="004759AC"/>
    <w:rsid w:val="00475AD0"/>
    <w:rsid w:val="00476579"/>
    <w:rsid w:val="004765E5"/>
    <w:rsid w:val="00476AE9"/>
    <w:rsid w:val="004776D6"/>
    <w:rsid w:val="004800EF"/>
    <w:rsid w:val="00481420"/>
    <w:rsid w:val="00482276"/>
    <w:rsid w:val="0048229E"/>
    <w:rsid w:val="0048260C"/>
    <w:rsid w:val="00482682"/>
    <w:rsid w:val="004826CD"/>
    <w:rsid w:val="00482DA5"/>
    <w:rsid w:val="00482F9C"/>
    <w:rsid w:val="0048307A"/>
    <w:rsid w:val="0048331A"/>
    <w:rsid w:val="00483408"/>
    <w:rsid w:val="004837BC"/>
    <w:rsid w:val="00483AE3"/>
    <w:rsid w:val="00483C69"/>
    <w:rsid w:val="004845CD"/>
    <w:rsid w:val="00485097"/>
    <w:rsid w:val="004855B3"/>
    <w:rsid w:val="00485653"/>
    <w:rsid w:val="00485814"/>
    <w:rsid w:val="00485A24"/>
    <w:rsid w:val="00485EC6"/>
    <w:rsid w:val="00486E9B"/>
    <w:rsid w:val="004871F4"/>
    <w:rsid w:val="00487E84"/>
    <w:rsid w:val="00490094"/>
    <w:rsid w:val="00490178"/>
    <w:rsid w:val="00490688"/>
    <w:rsid w:val="0049103B"/>
    <w:rsid w:val="00491CFC"/>
    <w:rsid w:val="004921A8"/>
    <w:rsid w:val="004922DE"/>
    <w:rsid w:val="00492823"/>
    <w:rsid w:val="00492B13"/>
    <w:rsid w:val="0049345B"/>
    <w:rsid w:val="00493588"/>
    <w:rsid w:val="004939BC"/>
    <w:rsid w:val="00493CEA"/>
    <w:rsid w:val="0049494E"/>
    <w:rsid w:val="00494B57"/>
    <w:rsid w:val="00494D20"/>
    <w:rsid w:val="0049506B"/>
    <w:rsid w:val="0049508E"/>
    <w:rsid w:val="00495C0D"/>
    <w:rsid w:val="004962F5"/>
    <w:rsid w:val="00497821"/>
    <w:rsid w:val="004978F6"/>
    <w:rsid w:val="00497CD9"/>
    <w:rsid w:val="00497D88"/>
    <w:rsid w:val="00497FC5"/>
    <w:rsid w:val="004A000E"/>
    <w:rsid w:val="004A070B"/>
    <w:rsid w:val="004A0B22"/>
    <w:rsid w:val="004A0DD1"/>
    <w:rsid w:val="004A16E3"/>
    <w:rsid w:val="004A1713"/>
    <w:rsid w:val="004A19E1"/>
    <w:rsid w:val="004A1CD2"/>
    <w:rsid w:val="004A2555"/>
    <w:rsid w:val="004A25A1"/>
    <w:rsid w:val="004A3263"/>
    <w:rsid w:val="004A380D"/>
    <w:rsid w:val="004A3BE8"/>
    <w:rsid w:val="004A3C54"/>
    <w:rsid w:val="004A3C96"/>
    <w:rsid w:val="004A4703"/>
    <w:rsid w:val="004A4AE2"/>
    <w:rsid w:val="004A54E6"/>
    <w:rsid w:val="004A58A9"/>
    <w:rsid w:val="004A5D41"/>
    <w:rsid w:val="004A5E4D"/>
    <w:rsid w:val="004A6BD6"/>
    <w:rsid w:val="004A7D3A"/>
    <w:rsid w:val="004B02AE"/>
    <w:rsid w:val="004B06F1"/>
    <w:rsid w:val="004B07A9"/>
    <w:rsid w:val="004B1678"/>
    <w:rsid w:val="004B1CCD"/>
    <w:rsid w:val="004B1D03"/>
    <w:rsid w:val="004B277B"/>
    <w:rsid w:val="004B28D2"/>
    <w:rsid w:val="004B2F91"/>
    <w:rsid w:val="004B312F"/>
    <w:rsid w:val="004B3992"/>
    <w:rsid w:val="004B3A4B"/>
    <w:rsid w:val="004B3D1F"/>
    <w:rsid w:val="004B4C9D"/>
    <w:rsid w:val="004B5323"/>
    <w:rsid w:val="004B5591"/>
    <w:rsid w:val="004B5F46"/>
    <w:rsid w:val="004B64CB"/>
    <w:rsid w:val="004B67C4"/>
    <w:rsid w:val="004B6891"/>
    <w:rsid w:val="004B6A17"/>
    <w:rsid w:val="004B6DA2"/>
    <w:rsid w:val="004B70F3"/>
    <w:rsid w:val="004B7347"/>
    <w:rsid w:val="004B75BF"/>
    <w:rsid w:val="004C002A"/>
    <w:rsid w:val="004C07EF"/>
    <w:rsid w:val="004C0D9B"/>
    <w:rsid w:val="004C0FD6"/>
    <w:rsid w:val="004C11CD"/>
    <w:rsid w:val="004C14F0"/>
    <w:rsid w:val="004C1964"/>
    <w:rsid w:val="004C1B07"/>
    <w:rsid w:val="004C2202"/>
    <w:rsid w:val="004C26C5"/>
    <w:rsid w:val="004C3317"/>
    <w:rsid w:val="004C390E"/>
    <w:rsid w:val="004C3984"/>
    <w:rsid w:val="004C4403"/>
    <w:rsid w:val="004C443A"/>
    <w:rsid w:val="004C49AF"/>
    <w:rsid w:val="004C4D3A"/>
    <w:rsid w:val="004C4D6B"/>
    <w:rsid w:val="004C507C"/>
    <w:rsid w:val="004C53F6"/>
    <w:rsid w:val="004C5429"/>
    <w:rsid w:val="004C5724"/>
    <w:rsid w:val="004C59B7"/>
    <w:rsid w:val="004C68C1"/>
    <w:rsid w:val="004C6D96"/>
    <w:rsid w:val="004C7349"/>
    <w:rsid w:val="004C74B5"/>
    <w:rsid w:val="004C75A8"/>
    <w:rsid w:val="004C76CC"/>
    <w:rsid w:val="004C7EB4"/>
    <w:rsid w:val="004D0BA9"/>
    <w:rsid w:val="004D1BFB"/>
    <w:rsid w:val="004D1F22"/>
    <w:rsid w:val="004D20A4"/>
    <w:rsid w:val="004D239C"/>
    <w:rsid w:val="004D2D69"/>
    <w:rsid w:val="004D327C"/>
    <w:rsid w:val="004D33BC"/>
    <w:rsid w:val="004D378B"/>
    <w:rsid w:val="004D409A"/>
    <w:rsid w:val="004D40D4"/>
    <w:rsid w:val="004D413E"/>
    <w:rsid w:val="004D52CC"/>
    <w:rsid w:val="004D5671"/>
    <w:rsid w:val="004D5CC7"/>
    <w:rsid w:val="004D60B4"/>
    <w:rsid w:val="004D6932"/>
    <w:rsid w:val="004D6B20"/>
    <w:rsid w:val="004D6DFF"/>
    <w:rsid w:val="004D7069"/>
    <w:rsid w:val="004D7316"/>
    <w:rsid w:val="004D78BD"/>
    <w:rsid w:val="004D79F0"/>
    <w:rsid w:val="004D7B42"/>
    <w:rsid w:val="004D7E73"/>
    <w:rsid w:val="004E0253"/>
    <w:rsid w:val="004E0393"/>
    <w:rsid w:val="004E07DF"/>
    <w:rsid w:val="004E09E2"/>
    <w:rsid w:val="004E09F6"/>
    <w:rsid w:val="004E0A5E"/>
    <w:rsid w:val="004E0B49"/>
    <w:rsid w:val="004E1514"/>
    <w:rsid w:val="004E1717"/>
    <w:rsid w:val="004E18C7"/>
    <w:rsid w:val="004E1D1E"/>
    <w:rsid w:val="004E228C"/>
    <w:rsid w:val="004E236E"/>
    <w:rsid w:val="004E25F3"/>
    <w:rsid w:val="004E3E3A"/>
    <w:rsid w:val="004E4763"/>
    <w:rsid w:val="004E4D42"/>
    <w:rsid w:val="004E5C57"/>
    <w:rsid w:val="004E61B3"/>
    <w:rsid w:val="004E630D"/>
    <w:rsid w:val="004E640E"/>
    <w:rsid w:val="004E7881"/>
    <w:rsid w:val="004F1607"/>
    <w:rsid w:val="004F1F50"/>
    <w:rsid w:val="004F262D"/>
    <w:rsid w:val="004F2977"/>
    <w:rsid w:val="004F2EE0"/>
    <w:rsid w:val="004F2F5E"/>
    <w:rsid w:val="004F34FB"/>
    <w:rsid w:val="004F3EA3"/>
    <w:rsid w:val="004F3EDD"/>
    <w:rsid w:val="004F3F64"/>
    <w:rsid w:val="004F4055"/>
    <w:rsid w:val="004F4142"/>
    <w:rsid w:val="004F4B87"/>
    <w:rsid w:val="004F4D7B"/>
    <w:rsid w:val="004F51E7"/>
    <w:rsid w:val="004F5251"/>
    <w:rsid w:val="004F5277"/>
    <w:rsid w:val="004F5363"/>
    <w:rsid w:val="004F5911"/>
    <w:rsid w:val="004F61AD"/>
    <w:rsid w:val="004F6479"/>
    <w:rsid w:val="004F7A11"/>
    <w:rsid w:val="004F7B3F"/>
    <w:rsid w:val="004F7C2C"/>
    <w:rsid w:val="004F7E54"/>
    <w:rsid w:val="004F7ED0"/>
    <w:rsid w:val="005004C5"/>
    <w:rsid w:val="00500522"/>
    <w:rsid w:val="005013E3"/>
    <w:rsid w:val="005019ED"/>
    <w:rsid w:val="00501AF1"/>
    <w:rsid w:val="0050242B"/>
    <w:rsid w:val="00502A1C"/>
    <w:rsid w:val="00502AF2"/>
    <w:rsid w:val="00502B15"/>
    <w:rsid w:val="00502F65"/>
    <w:rsid w:val="0050346E"/>
    <w:rsid w:val="00503884"/>
    <w:rsid w:val="005038D0"/>
    <w:rsid w:val="00503F93"/>
    <w:rsid w:val="00504638"/>
    <w:rsid w:val="0050475C"/>
    <w:rsid w:val="00504C98"/>
    <w:rsid w:val="00504D8D"/>
    <w:rsid w:val="0050545C"/>
    <w:rsid w:val="00506951"/>
    <w:rsid w:val="00507549"/>
    <w:rsid w:val="00507AA0"/>
    <w:rsid w:val="00507C72"/>
    <w:rsid w:val="0051071B"/>
    <w:rsid w:val="00510767"/>
    <w:rsid w:val="005114F8"/>
    <w:rsid w:val="0051192E"/>
    <w:rsid w:val="00512194"/>
    <w:rsid w:val="005122F8"/>
    <w:rsid w:val="00512729"/>
    <w:rsid w:val="005128F6"/>
    <w:rsid w:val="0051293F"/>
    <w:rsid w:val="00512B85"/>
    <w:rsid w:val="005134C4"/>
    <w:rsid w:val="00513565"/>
    <w:rsid w:val="00513949"/>
    <w:rsid w:val="00513A6A"/>
    <w:rsid w:val="00513B4B"/>
    <w:rsid w:val="00514FBA"/>
    <w:rsid w:val="005150B8"/>
    <w:rsid w:val="00515589"/>
    <w:rsid w:val="0051566D"/>
    <w:rsid w:val="005156E7"/>
    <w:rsid w:val="005167E0"/>
    <w:rsid w:val="00516991"/>
    <w:rsid w:val="00516B7F"/>
    <w:rsid w:val="00516B9B"/>
    <w:rsid w:val="005174B8"/>
    <w:rsid w:val="00517646"/>
    <w:rsid w:val="00517D03"/>
    <w:rsid w:val="00517D5F"/>
    <w:rsid w:val="0052001F"/>
    <w:rsid w:val="0052003D"/>
    <w:rsid w:val="005206C5"/>
    <w:rsid w:val="005206CB"/>
    <w:rsid w:val="00520A00"/>
    <w:rsid w:val="0052132B"/>
    <w:rsid w:val="00521883"/>
    <w:rsid w:val="00521C84"/>
    <w:rsid w:val="00521F72"/>
    <w:rsid w:val="005226FE"/>
    <w:rsid w:val="005227D2"/>
    <w:rsid w:val="00522D66"/>
    <w:rsid w:val="005234C4"/>
    <w:rsid w:val="00523A94"/>
    <w:rsid w:val="00523B4C"/>
    <w:rsid w:val="00523B58"/>
    <w:rsid w:val="00524035"/>
    <w:rsid w:val="00524951"/>
    <w:rsid w:val="005254EE"/>
    <w:rsid w:val="005256B3"/>
    <w:rsid w:val="00525BFD"/>
    <w:rsid w:val="00525C98"/>
    <w:rsid w:val="00525EE1"/>
    <w:rsid w:val="00526358"/>
    <w:rsid w:val="00526849"/>
    <w:rsid w:val="00526C75"/>
    <w:rsid w:val="00526DC8"/>
    <w:rsid w:val="0052771B"/>
    <w:rsid w:val="005277F5"/>
    <w:rsid w:val="00527925"/>
    <w:rsid w:val="005301B7"/>
    <w:rsid w:val="005313BE"/>
    <w:rsid w:val="0053160D"/>
    <w:rsid w:val="00531811"/>
    <w:rsid w:val="00531D4F"/>
    <w:rsid w:val="005323D8"/>
    <w:rsid w:val="00532E19"/>
    <w:rsid w:val="00533059"/>
    <w:rsid w:val="005337FC"/>
    <w:rsid w:val="00533C7E"/>
    <w:rsid w:val="00533F83"/>
    <w:rsid w:val="0053454F"/>
    <w:rsid w:val="00535151"/>
    <w:rsid w:val="0053557F"/>
    <w:rsid w:val="00535F19"/>
    <w:rsid w:val="005367D9"/>
    <w:rsid w:val="0053692C"/>
    <w:rsid w:val="00537134"/>
    <w:rsid w:val="00537955"/>
    <w:rsid w:val="00537F43"/>
    <w:rsid w:val="00537FF8"/>
    <w:rsid w:val="00540273"/>
    <w:rsid w:val="00540492"/>
    <w:rsid w:val="005404D2"/>
    <w:rsid w:val="0054071F"/>
    <w:rsid w:val="00540AA5"/>
    <w:rsid w:val="00541197"/>
    <w:rsid w:val="00541806"/>
    <w:rsid w:val="0054197F"/>
    <w:rsid w:val="00541B4C"/>
    <w:rsid w:val="005422D5"/>
    <w:rsid w:val="00542921"/>
    <w:rsid w:val="00542B59"/>
    <w:rsid w:val="00542ED9"/>
    <w:rsid w:val="00543275"/>
    <w:rsid w:val="005434D2"/>
    <w:rsid w:val="005439C6"/>
    <w:rsid w:val="00543B42"/>
    <w:rsid w:val="005448E4"/>
    <w:rsid w:val="00544BC5"/>
    <w:rsid w:val="00545912"/>
    <w:rsid w:val="00545A5F"/>
    <w:rsid w:val="00545E19"/>
    <w:rsid w:val="00545F63"/>
    <w:rsid w:val="00546346"/>
    <w:rsid w:val="005467F8"/>
    <w:rsid w:val="005472F6"/>
    <w:rsid w:val="00547620"/>
    <w:rsid w:val="00547D1F"/>
    <w:rsid w:val="00547E68"/>
    <w:rsid w:val="00547F54"/>
    <w:rsid w:val="00550395"/>
    <w:rsid w:val="005505D7"/>
    <w:rsid w:val="00550643"/>
    <w:rsid w:val="00551035"/>
    <w:rsid w:val="005519E1"/>
    <w:rsid w:val="00551A3C"/>
    <w:rsid w:val="00551D8C"/>
    <w:rsid w:val="0055236B"/>
    <w:rsid w:val="00552961"/>
    <w:rsid w:val="00552C96"/>
    <w:rsid w:val="00552ECD"/>
    <w:rsid w:val="00553142"/>
    <w:rsid w:val="005533EC"/>
    <w:rsid w:val="00553CDB"/>
    <w:rsid w:val="00554607"/>
    <w:rsid w:val="005546C9"/>
    <w:rsid w:val="00554791"/>
    <w:rsid w:val="00554B95"/>
    <w:rsid w:val="00555E3B"/>
    <w:rsid w:val="00556C3D"/>
    <w:rsid w:val="00556C72"/>
    <w:rsid w:val="00556EDD"/>
    <w:rsid w:val="00556FF6"/>
    <w:rsid w:val="005601AC"/>
    <w:rsid w:val="0056025F"/>
    <w:rsid w:val="005602E1"/>
    <w:rsid w:val="00561307"/>
    <w:rsid w:val="005618A8"/>
    <w:rsid w:val="005618BC"/>
    <w:rsid w:val="00561AD9"/>
    <w:rsid w:val="00561AEE"/>
    <w:rsid w:val="00562873"/>
    <w:rsid w:val="00562BED"/>
    <w:rsid w:val="00562CCB"/>
    <w:rsid w:val="0056343E"/>
    <w:rsid w:val="00563FD8"/>
    <w:rsid w:val="00564800"/>
    <w:rsid w:val="00564B62"/>
    <w:rsid w:val="00564BD1"/>
    <w:rsid w:val="00564F25"/>
    <w:rsid w:val="005652D1"/>
    <w:rsid w:val="005653BA"/>
    <w:rsid w:val="00566FD1"/>
    <w:rsid w:val="0056701D"/>
    <w:rsid w:val="005671F9"/>
    <w:rsid w:val="0056773E"/>
    <w:rsid w:val="0056791C"/>
    <w:rsid w:val="00567FA4"/>
    <w:rsid w:val="00570631"/>
    <w:rsid w:val="005707E9"/>
    <w:rsid w:val="00570F54"/>
    <w:rsid w:val="00571218"/>
    <w:rsid w:val="0057123F"/>
    <w:rsid w:val="0057145E"/>
    <w:rsid w:val="00571DFE"/>
    <w:rsid w:val="00572065"/>
    <w:rsid w:val="00572172"/>
    <w:rsid w:val="005721FA"/>
    <w:rsid w:val="005722F7"/>
    <w:rsid w:val="005725E8"/>
    <w:rsid w:val="00572CA1"/>
    <w:rsid w:val="00573068"/>
    <w:rsid w:val="0057332B"/>
    <w:rsid w:val="00573363"/>
    <w:rsid w:val="005738B7"/>
    <w:rsid w:val="00573E7B"/>
    <w:rsid w:val="00573FD6"/>
    <w:rsid w:val="0057423B"/>
    <w:rsid w:val="0057452C"/>
    <w:rsid w:val="005749DA"/>
    <w:rsid w:val="00574AAC"/>
    <w:rsid w:val="00574B34"/>
    <w:rsid w:val="005750CD"/>
    <w:rsid w:val="005755F8"/>
    <w:rsid w:val="005756DB"/>
    <w:rsid w:val="005757C4"/>
    <w:rsid w:val="00575B8E"/>
    <w:rsid w:val="00575E0A"/>
    <w:rsid w:val="00575FBF"/>
    <w:rsid w:val="0057654B"/>
    <w:rsid w:val="00576671"/>
    <w:rsid w:val="00577282"/>
    <w:rsid w:val="005773D3"/>
    <w:rsid w:val="00577AF5"/>
    <w:rsid w:val="00577BB3"/>
    <w:rsid w:val="005807AC"/>
    <w:rsid w:val="00580861"/>
    <w:rsid w:val="00580EE5"/>
    <w:rsid w:val="0058125B"/>
    <w:rsid w:val="0058165D"/>
    <w:rsid w:val="00581C8B"/>
    <w:rsid w:val="00581D1F"/>
    <w:rsid w:val="00581D47"/>
    <w:rsid w:val="00581FC5"/>
    <w:rsid w:val="005821F6"/>
    <w:rsid w:val="00582393"/>
    <w:rsid w:val="0058279C"/>
    <w:rsid w:val="00582B88"/>
    <w:rsid w:val="005832EC"/>
    <w:rsid w:val="005839A2"/>
    <w:rsid w:val="00583DCC"/>
    <w:rsid w:val="00584555"/>
    <w:rsid w:val="00584649"/>
    <w:rsid w:val="005846D0"/>
    <w:rsid w:val="00584900"/>
    <w:rsid w:val="005849A0"/>
    <w:rsid w:val="00585B23"/>
    <w:rsid w:val="00585CFD"/>
    <w:rsid w:val="00585E13"/>
    <w:rsid w:val="00586308"/>
    <w:rsid w:val="00586C7B"/>
    <w:rsid w:val="0058730B"/>
    <w:rsid w:val="005873EF"/>
    <w:rsid w:val="00587EB7"/>
    <w:rsid w:val="005902D7"/>
    <w:rsid w:val="005902D8"/>
    <w:rsid w:val="00590CE1"/>
    <w:rsid w:val="00591418"/>
    <w:rsid w:val="00591967"/>
    <w:rsid w:val="00592EB2"/>
    <w:rsid w:val="0059383A"/>
    <w:rsid w:val="005940BC"/>
    <w:rsid w:val="005941A4"/>
    <w:rsid w:val="0059424B"/>
    <w:rsid w:val="005945D9"/>
    <w:rsid w:val="00594AFD"/>
    <w:rsid w:val="00594EEF"/>
    <w:rsid w:val="00595B1A"/>
    <w:rsid w:val="0059608F"/>
    <w:rsid w:val="00596220"/>
    <w:rsid w:val="005962C1"/>
    <w:rsid w:val="005968F6"/>
    <w:rsid w:val="00596F19"/>
    <w:rsid w:val="00596F74"/>
    <w:rsid w:val="00597140"/>
    <w:rsid w:val="005977BD"/>
    <w:rsid w:val="00597EAC"/>
    <w:rsid w:val="005A0466"/>
    <w:rsid w:val="005A0A41"/>
    <w:rsid w:val="005A0CDD"/>
    <w:rsid w:val="005A0E6A"/>
    <w:rsid w:val="005A1947"/>
    <w:rsid w:val="005A1C04"/>
    <w:rsid w:val="005A27CE"/>
    <w:rsid w:val="005A315A"/>
    <w:rsid w:val="005A337E"/>
    <w:rsid w:val="005A37BA"/>
    <w:rsid w:val="005A387B"/>
    <w:rsid w:val="005A399E"/>
    <w:rsid w:val="005A40BE"/>
    <w:rsid w:val="005A4114"/>
    <w:rsid w:val="005A4D1F"/>
    <w:rsid w:val="005A5593"/>
    <w:rsid w:val="005A563C"/>
    <w:rsid w:val="005A5699"/>
    <w:rsid w:val="005A57A1"/>
    <w:rsid w:val="005A60A3"/>
    <w:rsid w:val="005A611D"/>
    <w:rsid w:val="005A656D"/>
    <w:rsid w:val="005A683F"/>
    <w:rsid w:val="005A7353"/>
    <w:rsid w:val="005A7645"/>
    <w:rsid w:val="005A7A37"/>
    <w:rsid w:val="005B02C9"/>
    <w:rsid w:val="005B0DAC"/>
    <w:rsid w:val="005B123A"/>
    <w:rsid w:val="005B1B5A"/>
    <w:rsid w:val="005B1D69"/>
    <w:rsid w:val="005B2173"/>
    <w:rsid w:val="005B21AD"/>
    <w:rsid w:val="005B312D"/>
    <w:rsid w:val="005B3252"/>
    <w:rsid w:val="005B3265"/>
    <w:rsid w:val="005B333F"/>
    <w:rsid w:val="005B3399"/>
    <w:rsid w:val="005B3667"/>
    <w:rsid w:val="005B3E33"/>
    <w:rsid w:val="005B4720"/>
    <w:rsid w:val="005B4B03"/>
    <w:rsid w:val="005B555D"/>
    <w:rsid w:val="005B5631"/>
    <w:rsid w:val="005B5AF3"/>
    <w:rsid w:val="005B5C8B"/>
    <w:rsid w:val="005B5D5F"/>
    <w:rsid w:val="005B5D8D"/>
    <w:rsid w:val="005B5F32"/>
    <w:rsid w:val="005B634F"/>
    <w:rsid w:val="005B6925"/>
    <w:rsid w:val="005B7456"/>
    <w:rsid w:val="005B78AB"/>
    <w:rsid w:val="005C0126"/>
    <w:rsid w:val="005C1263"/>
    <w:rsid w:val="005C177A"/>
    <w:rsid w:val="005C276D"/>
    <w:rsid w:val="005C294A"/>
    <w:rsid w:val="005C2FF1"/>
    <w:rsid w:val="005C3626"/>
    <w:rsid w:val="005C3B3F"/>
    <w:rsid w:val="005C3C5F"/>
    <w:rsid w:val="005C466C"/>
    <w:rsid w:val="005C48E9"/>
    <w:rsid w:val="005C4F2F"/>
    <w:rsid w:val="005C59C3"/>
    <w:rsid w:val="005C60A9"/>
    <w:rsid w:val="005C643A"/>
    <w:rsid w:val="005C6BE6"/>
    <w:rsid w:val="005C6CD4"/>
    <w:rsid w:val="005C6F69"/>
    <w:rsid w:val="005C6FB6"/>
    <w:rsid w:val="005C734B"/>
    <w:rsid w:val="005C7437"/>
    <w:rsid w:val="005C74EA"/>
    <w:rsid w:val="005C7546"/>
    <w:rsid w:val="005C7923"/>
    <w:rsid w:val="005C7BDB"/>
    <w:rsid w:val="005C7F8A"/>
    <w:rsid w:val="005C7FCC"/>
    <w:rsid w:val="005D0098"/>
    <w:rsid w:val="005D0B56"/>
    <w:rsid w:val="005D0E60"/>
    <w:rsid w:val="005D1258"/>
    <w:rsid w:val="005D15B2"/>
    <w:rsid w:val="005D2351"/>
    <w:rsid w:val="005D24C8"/>
    <w:rsid w:val="005D2527"/>
    <w:rsid w:val="005D2764"/>
    <w:rsid w:val="005D2AB2"/>
    <w:rsid w:val="005D3069"/>
    <w:rsid w:val="005D3CBC"/>
    <w:rsid w:val="005D4997"/>
    <w:rsid w:val="005D53E6"/>
    <w:rsid w:val="005D68B2"/>
    <w:rsid w:val="005D694E"/>
    <w:rsid w:val="005D778D"/>
    <w:rsid w:val="005E11A4"/>
    <w:rsid w:val="005E213E"/>
    <w:rsid w:val="005E2C6F"/>
    <w:rsid w:val="005E2CA0"/>
    <w:rsid w:val="005E2DCF"/>
    <w:rsid w:val="005E3591"/>
    <w:rsid w:val="005E3DDE"/>
    <w:rsid w:val="005E4440"/>
    <w:rsid w:val="005E461D"/>
    <w:rsid w:val="005E4661"/>
    <w:rsid w:val="005E4CB0"/>
    <w:rsid w:val="005E557A"/>
    <w:rsid w:val="005E5875"/>
    <w:rsid w:val="005E5F69"/>
    <w:rsid w:val="005E69F8"/>
    <w:rsid w:val="005E6AD1"/>
    <w:rsid w:val="005E6B2E"/>
    <w:rsid w:val="005E6D21"/>
    <w:rsid w:val="005E6ED2"/>
    <w:rsid w:val="005E70DB"/>
    <w:rsid w:val="005E7190"/>
    <w:rsid w:val="005E7363"/>
    <w:rsid w:val="005E768F"/>
    <w:rsid w:val="005E7C44"/>
    <w:rsid w:val="005E7FCF"/>
    <w:rsid w:val="005F0584"/>
    <w:rsid w:val="005F0B5A"/>
    <w:rsid w:val="005F0CBB"/>
    <w:rsid w:val="005F1575"/>
    <w:rsid w:val="005F16B1"/>
    <w:rsid w:val="005F1AAF"/>
    <w:rsid w:val="005F214A"/>
    <w:rsid w:val="005F223C"/>
    <w:rsid w:val="005F23F7"/>
    <w:rsid w:val="005F2559"/>
    <w:rsid w:val="005F369A"/>
    <w:rsid w:val="005F39ED"/>
    <w:rsid w:val="005F439E"/>
    <w:rsid w:val="005F43A9"/>
    <w:rsid w:val="005F44CD"/>
    <w:rsid w:val="005F58EB"/>
    <w:rsid w:val="005F596D"/>
    <w:rsid w:val="005F5C55"/>
    <w:rsid w:val="005F6989"/>
    <w:rsid w:val="005F72DA"/>
    <w:rsid w:val="005F72F0"/>
    <w:rsid w:val="005F739A"/>
    <w:rsid w:val="005F73FF"/>
    <w:rsid w:val="005F7611"/>
    <w:rsid w:val="005F7FBF"/>
    <w:rsid w:val="0060076F"/>
    <w:rsid w:val="006009A1"/>
    <w:rsid w:val="00600AF3"/>
    <w:rsid w:val="00601480"/>
    <w:rsid w:val="00601E03"/>
    <w:rsid w:val="006020CA"/>
    <w:rsid w:val="00602EAA"/>
    <w:rsid w:val="00603AAE"/>
    <w:rsid w:val="00605011"/>
    <w:rsid w:val="006050F0"/>
    <w:rsid w:val="00605801"/>
    <w:rsid w:val="00606895"/>
    <w:rsid w:val="006068C7"/>
    <w:rsid w:val="00606973"/>
    <w:rsid w:val="00607157"/>
    <w:rsid w:val="00607365"/>
    <w:rsid w:val="006078F2"/>
    <w:rsid w:val="00607DE9"/>
    <w:rsid w:val="0061000A"/>
    <w:rsid w:val="0061018A"/>
    <w:rsid w:val="006103A3"/>
    <w:rsid w:val="00610626"/>
    <w:rsid w:val="00610B56"/>
    <w:rsid w:val="00610B9D"/>
    <w:rsid w:val="00611065"/>
    <w:rsid w:val="00611129"/>
    <w:rsid w:val="00611583"/>
    <w:rsid w:val="00611622"/>
    <w:rsid w:val="00611B03"/>
    <w:rsid w:val="00611C29"/>
    <w:rsid w:val="00611C85"/>
    <w:rsid w:val="00611CCE"/>
    <w:rsid w:val="00611D04"/>
    <w:rsid w:val="00611D4D"/>
    <w:rsid w:val="00611FF0"/>
    <w:rsid w:val="006125C5"/>
    <w:rsid w:val="006125EE"/>
    <w:rsid w:val="0061360A"/>
    <w:rsid w:val="006136E1"/>
    <w:rsid w:val="00613F4A"/>
    <w:rsid w:val="00614520"/>
    <w:rsid w:val="00614808"/>
    <w:rsid w:val="00614F29"/>
    <w:rsid w:val="00615611"/>
    <w:rsid w:val="00615FFF"/>
    <w:rsid w:val="006165AC"/>
    <w:rsid w:val="00616695"/>
    <w:rsid w:val="00616D04"/>
    <w:rsid w:val="00616E6C"/>
    <w:rsid w:val="00620C1C"/>
    <w:rsid w:val="00620E2A"/>
    <w:rsid w:val="00621ABB"/>
    <w:rsid w:val="00621C3B"/>
    <w:rsid w:val="00622185"/>
    <w:rsid w:val="00622320"/>
    <w:rsid w:val="006229BD"/>
    <w:rsid w:val="00622CB6"/>
    <w:rsid w:val="0062380A"/>
    <w:rsid w:val="00623B6D"/>
    <w:rsid w:val="00623D02"/>
    <w:rsid w:val="00623EE1"/>
    <w:rsid w:val="00624DA9"/>
    <w:rsid w:val="00625291"/>
    <w:rsid w:val="00625463"/>
    <w:rsid w:val="006254F0"/>
    <w:rsid w:val="00625567"/>
    <w:rsid w:val="006256F1"/>
    <w:rsid w:val="0062570C"/>
    <w:rsid w:val="00625F44"/>
    <w:rsid w:val="0062601E"/>
    <w:rsid w:val="0062610B"/>
    <w:rsid w:val="00626916"/>
    <w:rsid w:val="00626E0B"/>
    <w:rsid w:val="00627659"/>
    <w:rsid w:val="00627E41"/>
    <w:rsid w:val="00627F5C"/>
    <w:rsid w:val="00627FD4"/>
    <w:rsid w:val="00630A79"/>
    <w:rsid w:val="00630CC6"/>
    <w:rsid w:val="0063166A"/>
    <w:rsid w:val="00631CAB"/>
    <w:rsid w:val="00631DB9"/>
    <w:rsid w:val="00631E78"/>
    <w:rsid w:val="00631EDA"/>
    <w:rsid w:val="00632402"/>
    <w:rsid w:val="00632970"/>
    <w:rsid w:val="00633045"/>
    <w:rsid w:val="006337C7"/>
    <w:rsid w:val="00633D68"/>
    <w:rsid w:val="00634018"/>
    <w:rsid w:val="0063430D"/>
    <w:rsid w:val="006347F1"/>
    <w:rsid w:val="00634FBB"/>
    <w:rsid w:val="00635889"/>
    <w:rsid w:val="00636118"/>
    <w:rsid w:val="006364E3"/>
    <w:rsid w:val="006369B3"/>
    <w:rsid w:val="00636A13"/>
    <w:rsid w:val="00636FFC"/>
    <w:rsid w:val="006377BB"/>
    <w:rsid w:val="006378BB"/>
    <w:rsid w:val="006378E7"/>
    <w:rsid w:val="00637BFC"/>
    <w:rsid w:val="00637BFD"/>
    <w:rsid w:val="006402DF"/>
    <w:rsid w:val="006407A0"/>
    <w:rsid w:val="00640D87"/>
    <w:rsid w:val="00640F39"/>
    <w:rsid w:val="00641AB4"/>
    <w:rsid w:val="00641B90"/>
    <w:rsid w:val="00641D25"/>
    <w:rsid w:val="00641E96"/>
    <w:rsid w:val="006422D0"/>
    <w:rsid w:val="006428FB"/>
    <w:rsid w:val="00642EA0"/>
    <w:rsid w:val="00643803"/>
    <w:rsid w:val="00643963"/>
    <w:rsid w:val="006441FC"/>
    <w:rsid w:val="00644515"/>
    <w:rsid w:val="006470F1"/>
    <w:rsid w:val="00647312"/>
    <w:rsid w:val="006474BC"/>
    <w:rsid w:val="006477B5"/>
    <w:rsid w:val="00647B7F"/>
    <w:rsid w:val="006501E1"/>
    <w:rsid w:val="00650310"/>
    <w:rsid w:val="00650F56"/>
    <w:rsid w:val="0065124D"/>
    <w:rsid w:val="006517DA"/>
    <w:rsid w:val="006524CB"/>
    <w:rsid w:val="00652D19"/>
    <w:rsid w:val="00653818"/>
    <w:rsid w:val="006547CA"/>
    <w:rsid w:val="00655850"/>
    <w:rsid w:val="006559E7"/>
    <w:rsid w:val="00655C71"/>
    <w:rsid w:val="00655E17"/>
    <w:rsid w:val="00656F1B"/>
    <w:rsid w:val="00656F66"/>
    <w:rsid w:val="006570FB"/>
    <w:rsid w:val="0065711E"/>
    <w:rsid w:val="0065744B"/>
    <w:rsid w:val="0065794A"/>
    <w:rsid w:val="006602B4"/>
    <w:rsid w:val="0066062A"/>
    <w:rsid w:val="00660E58"/>
    <w:rsid w:val="00661264"/>
    <w:rsid w:val="006619FF"/>
    <w:rsid w:val="00661B26"/>
    <w:rsid w:val="00662018"/>
    <w:rsid w:val="0066220F"/>
    <w:rsid w:val="0066251B"/>
    <w:rsid w:val="00662AC0"/>
    <w:rsid w:val="00662B2C"/>
    <w:rsid w:val="00662C52"/>
    <w:rsid w:val="00662E23"/>
    <w:rsid w:val="00663A22"/>
    <w:rsid w:val="00663BCC"/>
    <w:rsid w:val="006641C5"/>
    <w:rsid w:val="00664A47"/>
    <w:rsid w:val="00664F91"/>
    <w:rsid w:val="00665113"/>
    <w:rsid w:val="006654F9"/>
    <w:rsid w:val="00665ACE"/>
    <w:rsid w:val="00666505"/>
    <w:rsid w:val="00666740"/>
    <w:rsid w:val="00666899"/>
    <w:rsid w:val="00666D98"/>
    <w:rsid w:val="00667510"/>
    <w:rsid w:val="00667B60"/>
    <w:rsid w:val="006703DA"/>
    <w:rsid w:val="006705E9"/>
    <w:rsid w:val="00671309"/>
    <w:rsid w:val="00671484"/>
    <w:rsid w:val="006716F9"/>
    <w:rsid w:val="00672635"/>
    <w:rsid w:val="00672BA3"/>
    <w:rsid w:val="00672CB4"/>
    <w:rsid w:val="00672D39"/>
    <w:rsid w:val="00673064"/>
    <w:rsid w:val="0067342D"/>
    <w:rsid w:val="00673669"/>
    <w:rsid w:val="00673B4D"/>
    <w:rsid w:val="00673E8D"/>
    <w:rsid w:val="0067454E"/>
    <w:rsid w:val="00675711"/>
    <w:rsid w:val="00675BF5"/>
    <w:rsid w:val="00675D99"/>
    <w:rsid w:val="00676601"/>
    <w:rsid w:val="00676CE9"/>
    <w:rsid w:val="00676E52"/>
    <w:rsid w:val="00676EE6"/>
    <w:rsid w:val="00677070"/>
    <w:rsid w:val="00681471"/>
    <w:rsid w:val="00681899"/>
    <w:rsid w:val="00681B51"/>
    <w:rsid w:val="00681BD2"/>
    <w:rsid w:val="00681F15"/>
    <w:rsid w:val="0068241A"/>
    <w:rsid w:val="00683652"/>
    <w:rsid w:val="00683BD6"/>
    <w:rsid w:val="00683D5D"/>
    <w:rsid w:val="0068409B"/>
    <w:rsid w:val="006848C3"/>
    <w:rsid w:val="00684EBC"/>
    <w:rsid w:val="00684F16"/>
    <w:rsid w:val="00685064"/>
    <w:rsid w:val="00685111"/>
    <w:rsid w:val="0068557A"/>
    <w:rsid w:val="00685692"/>
    <w:rsid w:val="006864B8"/>
    <w:rsid w:val="00686738"/>
    <w:rsid w:val="0068721B"/>
    <w:rsid w:val="006875A0"/>
    <w:rsid w:val="006877B1"/>
    <w:rsid w:val="00687BA2"/>
    <w:rsid w:val="006912D1"/>
    <w:rsid w:val="006913D3"/>
    <w:rsid w:val="00691573"/>
    <w:rsid w:val="00691888"/>
    <w:rsid w:val="00692192"/>
    <w:rsid w:val="00692212"/>
    <w:rsid w:val="0069241A"/>
    <w:rsid w:val="006925BD"/>
    <w:rsid w:val="00692F3A"/>
    <w:rsid w:val="006931A5"/>
    <w:rsid w:val="006933CC"/>
    <w:rsid w:val="006934FE"/>
    <w:rsid w:val="0069397F"/>
    <w:rsid w:val="00694403"/>
    <w:rsid w:val="00694562"/>
    <w:rsid w:val="00695089"/>
    <w:rsid w:val="0069525E"/>
    <w:rsid w:val="00695266"/>
    <w:rsid w:val="006954CA"/>
    <w:rsid w:val="00695B6A"/>
    <w:rsid w:val="00695DE8"/>
    <w:rsid w:val="00695E5F"/>
    <w:rsid w:val="00697125"/>
    <w:rsid w:val="00697B28"/>
    <w:rsid w:val="006A009A"/>
    <w:rsid w:val="006A0DFF"/>
    <w:rsid w:val="006A0F12"/>
    <w:rsid w:val="006A11B3"/>
    <w:rsid w:val="006A18A6"/>
    <w:rsid w:val="006A1A16"/>
    <w:rsid w:val="006A1ACB"/>
    <w:rsid w:val="006A1EA6"/>
    <w:rsid w:val="006A2067"/>
    <w:rsid w:val="006A2827"/>
    <w:rsid w:val="006A29AE"/>
    <w:rsid w:val="006A2AF0"/>
    <w:rsid w:val="006A3C49"/>
    <w:rsid w:val="006A4201"/>
    <w:rsid w:val="006A4654"/>
    <w:rsid w:val="006A4874"/>
    <w:rsid w:val="006A53AB"/>
    <w:rsid w:val="006A57A4"/>
    <w:rsid w:val="006A57B9"/>
    <w:rsid w:val="006A5B9F"/>
    <w:rsid w:val="006A5F6A"/>
    <w:rsid w:val="006A63A5"/>
    <w:rsid w:val="006A6AFA"/>
    <w:rsid w:val="006A7630"/>
    <w:rsid w:val="006A764C"/>
    <w:rsid w:val="006A7CCF"/>
    <w:rsid w:val="006B0795"/>
    <w:rsid w:val="006B08E6"/>
    <w:rsid w:val="006B122D"/>
    <w:rsid w:val="006B12F4"/>
    <w:rsid w:val="006B12F8"/>
    <w:rsid w:val="006B1D8F"/>
    <w:rsid w:val="006B1E5C"/>
    <w:rsid w:val="006B2391"/>
    <w:rsid w:val="006B2C58"/>
    <w:rsid w:val="006B31FE"/>
    <w:rsid w:val="006B3519"/>
    <w:rsid w:val="006B3F31"/>
    <w:rsid w:val="006B42DB"/>
    <w:rsid w:val="006B4410"/>
    <w:rsid w:val="006B48D0"/>
    <w:rsid w:val="006B4BE0"/>
    <w:rsid w:val="006B4CB7"/>
    <w:rsid w:val="006B4CEA"/>
    <w:rsid w:val="006B5333"/>
    <w:rsid w:val="006B53E6"/>
    <w:rsid w:val="006B5455"/>
    <w:rsid w:val="006B5496"/>
    <w:rsid w:val="006B552F"/>
    <w:rsid w:val="006B6C4F"/>
    <w:rsid w:val="006B6D41"/>
    <w:rsid w:val="006B75EC"/>
    <w:rsid w:val="006B789E"/>
    <w:rsid w:val="006B7EAB"/>
    <w:rsid w:val="006C037B"/>
    <w:rsid w:val="006C0B53"/>
    <w:rsid w:val="006C119F"/>
    <w:rsid w:val="006C1478"/>
    <w:rsid w:val="006C1949"/>
    <w:rsid w:val="006C1BF1"/>
    <w:rsid w:val="006C1EC2"/>
    <w:rsid w:val="006C1FEC"/>
    <w:rsid w:val="006C26BF"/>
    <w:rsid w:val="006C27B7"/>
    <w:rsid w:val="006C289B"/>
    <w:rsid w:val="006C2C26"/>
    <w:rsid w:val="006C309C"/>
    <w:rsid w:val="006C30BA"/>
    <w:rsid w:val="006C405F"/>
    <w:rsid w:val="006C414D"/>
    <w:rsid w:val="006C46F3"/>
    <w:rsid w:val="006C485A"/>
    <w:rsid w:val="006C49BE"/>
    <w:rsid w:val="006C4B9E"/>
    <w:rsid w:val="006C50A3"/>
    <w:rsid w:val="006C5451"/>
    <w:rsid w:val="006C56B1"/>
    <w:rsid w:val="006C59C1"/>
    <w:rsid w:val="006C5DE7"/>
    <w:rsid w:val="006C6864"/>
    <w:rsid w:val="006C6A9D"/>
    <w:rsid w:val="006C74E8"/>
    <w:rsid w:val="006C7D85"/>
    <w:rsid w:val="006C7FFB"/>
    <w:rsid w:val="006D05A7"/>
    <w:rsid w:val="006D0726"/>
    <w:rsid w:val="006D073A"/>
    <w:rsid w:val="006D0BC7"/>
    <w:rsid w:val="006D0F0E"/>
    <w:rsid w:val="006D1115"/>
    <w:rsid w:val="006D1155"/>
    <w:rsid w:val="006D1AD7"/>
    <w:rsid w:val="006D1D12"/>
    <w:rsid w:val="006D21A2"/>
    <w:rsid w:val="006D3AD9"/>
    <w:rsid w:val="006D40F5"/>
    <w:rsid w:val="006D49E9"/>
    <w:rsid w:val="006D4A8F"/>
    <w:rsid w:val="006D4D72"/>
    <w:rsid w:val="006D52AC"/>
    <w:rsid w:val="006D5435"/>
    <w:rsid w:val="006D57B0"/>
    <w:rsid w:val="006D5874"/>
    <w:rsid w:val="006D5B35"/>
    <w:rsid w:val="006D5F7E"/>
    <w:rsid w:val="006D61D2"/>
    <w:rsid w:val="006D6645"/>
    <w:rsid w:val="006D6663"/>
    <w:rsid w:val="006D6D07"/>
    <w:rsid w:val="006D6F16"/>
    <w:rsid w:val="006D78FE"/>
    <w:rsid w:val="006D7DDE"/>
    <w:rsid w:val="006E067E"/>
    <w:rsid w:val="006E0911"/>
    <w:rsid w:val="006E0978"/>
    <w:rsid w:val="006E0AB8"/>
    <w:rsid w:val="006E0BE5"/>
    <w:rsid w:val="006E0CBB"/>
    <w:rsid w:val="006E0EE2"/>
    <w:rsid w:val="006E0FC5"/>
    <w:rsid w:val="006E123D"/>
    <w:rsid w:val="006E1CA9"/>
    <w:rsid w:val="006E2216"/>
    <w:rsid w:val="006E28A6"/>
    <w:rsid w:val="006E2B68"/>
    <w:rsid w:val="006E36A0"/>
    <w:rsid w:val="006E3C9C"/>
    <w:rsid w:val="006E4687"/>
    <w:rsid w:val="006E4A1B"/>
    <w:rsid w:val="006E4D3A"/>
    <w:rsid w:val="006E5125"/>
    <w:rsid w:val="006E55B3"/>
    <w:rsid w:val="006E6486"/>
    <w:rsid w:val="006E6AAC"/>
    <w:rsid w:val="006E70F2"/>
    <w:rsid w:val="006E7177"/>
    <w:rsid w:val="006E7709"/>
    <w:rsid w:val="006E775D"/>
    <w:rsid w:val="006E77A7"/>
    <w:rsid w:val="006E7887"/>
    <w:rsid w:val="006E7B03"/>
    <w:rsid w:val="006E7C7B"/>
    <w:rsid w:val="006F01F6"/>
    <w:rsid w:val="006F0B98"/>
    <w:rsid w:val="006F0BCA"/>
    <w:rsid w:val="006F0E77"/>
    <w:rsid w:val="006F0FBC"/>
    <w:rsid w:val="006F1324"/>
    <w:rsid w:val="006F162C"/>
    <w:rsid w:val="006F24A2"/>
    <w:rsid w:val="006F2779"/>
    <w:rsid w:val="006F277E"/>
    <w:rsid w:val="006F2BCA"/>
    <w:rsid w:val="006F2D75"/>
    <w:rsid w:val="006F321D"/>
    <w:rsid w:val="006F4049"/>
    <w:rsid w:val="006F4E72"/>
    <w:rsid w:val="006F4ED6"/>
    <w:rsid w:val="006F5253"/>
    <w:rsid w:val="006F589F"/>
    <w:rsid w:val="006F594F"/>
    <w:rsid w:val="006F5E79"/>
    <w:rsid w:val="006F604A"/>
    <w:rsid w:val="006F60C0"/>
    <w:rsid w:val="006F6593"/>
    <w:rsid w:val="006F68EF"/>
    <w:rsid w:val="006F6A66"/>
    <w:rsid w:val="006F6AD6"/>
    <w:rsid w:val="006F6B6C"/>
    <w:rsid w:val="006F6EF4"/>
    <w:rsid w:val="006F7202"/>
    <w:rsid w:val="006F789B"/>
    <w:rsid w:val="006F793D"/>
    <w:rsid w:val="006F79A2"/>
    <w:rsid w:val="006F7C61"/>
    <w:rsid w:val="00700346"/>
    <w:rsid w:val="0070034B"/>
    <w:rsid w:val="0070109C"/>
    <w:rsid w:val="00701492"/>
    <w:rsid w:val="00701534"/>
    <w:rsid w:val="00701A74"/>
    <w:rsid w:val="00701F39"/>
    <w:rsid w:val="007021C5"/>
    <w:rsid w:val="007021FE"/>
    <w:rsid w:val="007025CF"/>
    <w:rsid w:val="0070273A"/>
    <w:rsid w:val="00703BB6"/>
    <w:rsid w:val="00704204"/>
    <w:rsid w:val="00704451"/>
    <w:rsid w:val="00704933"/>
    <w:rsid w:val="00704C68"/>
    <w:rsid w:val="00704E36"/>
    <w:rsid w:val="00705291"/>
    <w:rsid w:val="00705B44"/>
    <w:rsid w:val="00705C62"/>
    <w:rsid w:val="00706A6C"/>
    <w:rsid w:val="00706BE5"/>
    <w:rsid w:val="007070D9"/>
    <w:rsid w:val="007077A1"/>
    <w:rsid w:val="007101FB"/>
    <w:rsid w:val="007105AA"/>
    <w:rsid w:val="00710B95"/>
    <w:rsid w:val="00710DDD"/>
    <w:rsid w:val="00711828"/>
    <w:rsid w:val="00711B33"/>
    <w:rsid w:val="00711C37"/>
    <w:rsid w:val="00711E4B"/>
    <w:rsid w:val="0071205D"/>
    <w:rsid w:val="007120B4"/>
    <w:rsid w:val="0071246D"/>
    <w:rsid w:val="00712F7E"/>
    <w:rsid w:val="007141AA"/>
    <w:rsid w:val="007145C3"/>
    <w:rsid w:val="00714690"/>
    <w:rsid w:val="007147D3"/>
    <w:rsid w:val="00714AC0"/>
    <w:rsid w:val="00714FC4"/>
    <w:rsid w:val="00715191"/>
    <w:rsid w:val="007159AE"/>
    <w:rsid w:val="00715BAF"/>
    <w:rsid w:val="00715E51"/>
    <w:rsid w:val="0071738D"/>
    <w:rsid w:val="00717537"/>
    <w:rsid w:val="00717F4D"/>
    <w:rsid w:val="007207C1"/>
    <w:rsid w:val="00720E63"/>
    <w:rsid w:val="007210CA"/>
    <w:rsid w:val="007219D6"/>
    <w:rsid w:val="00722740"/>
    <w:rsid w:val="00722BE2"/>
    <w:rsid w:val="0072306F"/>
    <w:rsid w:val="007235AD"/>
    <w:rsid w:val="0072363E"/>
    <w:rsid w:val="007242CC"/>
    <w:rsid w:val="007242FD"/>
    <w:rsid w:val="0072452C"/>
    <w:rsid w:val="007248C0"/>
    <w:rsid w:val="00724C07"/>
    <w:rsid w:val="00724CDE"/>
    <w:rsid w:val="00725690"/>
    <w:rsid w:val="007258B5"/>
    <w:rsid w:val="00726184"/>
    <w:rsid w:val="00726225"/>
    <w:rsid w:val="00726410"/>
    <w:rsid w:val="00726D39"/>
    <w:rsid w:val="00727488"/>
    <w:rsid w:val="007279EC"/>
    <w:rsid w:val="00727C16"/>
    <w:rsid w:val="007304D9"/>
    <w:rsid w:val="00731B87"/>
    <w:rsid w:val="00731CA7"/>
    <w:rsid w:val="00731F0A"/>
    <w:rsid w:val="007335D8"/>
    <w:rsid w:val="00733755"/>
    <w:rsid w:val="007337D7"/>
    <w:rsid w:val="007339CA"/>
    <w:rsid w:val="00733BCA"/>
    <w:rsid w:val="0073423E"/>
    <w:rsid w:val="007343E1"/>
    <w:rsid w:val="007347C6"/>
    <w:rsid w:val="00734A38"/>
    <w:rsid w:val="00734B7A"/>
    <w:rsid w:val="00734BA7"/>
    <w:rsid w:val="007354FE"/>
    <w:rsid w:val="00735667"/>
    <w:rsid w:val="007358AE"/>
    <w:rsid w:val="00737ED7"/>
    <w:rsid w:val="00740012"/>
    <w:rsid w:val="00740822"/>
    <w:rsid w:val="0074084F"/>
    <w:rsid w:val="007420B7"/>
    <w:rsid w:val="007424D7"/>
    <w:rsid w:val="00742EF1"/>
    <w:rsid w:val="0074300A"/>
    <w:rsid w:val="00743D56"/>
    <w:rsid w:val="0074469E"/>
    <w:rsid w:val="00744850"/>
    <w:rsid w:val="00744861"/>
    <w:rsid w:val="00744AFD"/>
    <w:rsid w:val="00744DB3"/>
    <w:rsid w:val="00745DBC"/>
    <w:rsid w:val="007467FB"/>
    <w:rsid w:val="00746EB4"/>
    <w:rsid w:val="00746F28"/>
    <w:rsid w:val="0074713A"/>
    <w:rsid w:val="00747BCC"/>
    <w:rsid w:val="00747D88"/>
    <w:rsid w:val="00747E75"/>
    <w:rsid w:val="00750AA6"/>
    <w:rsid w:val="00750C5F"/>
    <w:rsid w:val="007516A5"/>
    <w:rsid w:val="00751B5F"/>
    <w:rsid w:val="00751F31"/>
    <w:rsid w:val="007522B6"/>
    <w:rsid w:val="00752F8B"/>
    <w:rsid w:val="007536B2"/>
    <w:rsid w:val="00753E4C"/>
    <w:rsid w:val="00754763"/>
    <w:rsid w:val="00754B1B"/>
    <w:rsid w:val="00754C02"/>
    <w:rsid w:val="00755BBF"/>
    <w:rsid w:val="00755FF3"/>
    <w:rsid w:val="007561EF"/>
    <w:rsid w:val="007562A6"/>
    <w:rsid w:val="007562F1"/>
    <w:rsid w:val="007565C2"/>
    <w:rsid w:val="00756777"/>
    <w:rsid w:val="007575B4"/>
    <w:rsid w:val="0076022A"/>
    <w:rsid w:val="007605A5"/>
    <w:rsid w:val="00760F19"/>
    <w:rsid w:val="00760F6B"/>
    <w:rsid w:val="007610F9"/>
    <w:rsid w:val="007611C2"/>
    <w:rsid w:val="00761229"/>
    <w:rsid w:val="007613D5"/>
    <w:rsid w:val="00761667"/>
    <w:rsid w:val="00761CBC"/>
    <w:rsid w:val="00762069"/>
    <w:rsid w:val="00762FFB"/>
    <w:rsid w:val="0076304A"/>
    <w:rsid w:val="00763378"/>
    <w:rsid w:val="0076369D"/>
    <w:rsid w:val="00763CC7"/>
    <w:rsid w:val="00764205"/>
    <w:rsid w:val="007648FA"/>
    <w:rsid w:val="0076548E"/>
    <w:rsid w:val="00765601"/>
    <w:rsid w:val="007659DD"/>
    <w:rsid w:val="00766D4D"/>
    <w:rsid w:val="007703B3"/>
    <w:rsid w:val="007703B7"/>
    <w:rsid w:val="007707A0"/>
    <w:rsid w:val="00770BDF"/>
    <w:rsid w:val="0077169B"/>
    <w:rsid w:val="007721B4"/>
    <w:rsid w:val="007725E3"/>
    <w:rsid w:val="007727ED"/>
    <w:rsid w:val="00772C3D"/>
    <w:rsid w:val="00773279"/>
    <w:rsid w:val="007732B5"/>
    <w:rsid w:val="0077338D"/>
    <w:rsid w:val="007734E3"/>
    <w:rsid w:val="00773691"/>
    <w:rsid w:val="00773A3E"/>
    <w:rsid w:val="00773B60"/>
    <w:rsid w:val="00774315"/>
    <w:rsid w:val="0077436E"/>
    <w:rsid w:val="00774718"/>
    <w:rsid w:val="00774EAE"/>
    <w:rsid w:val="00774FEC"/>
    <w:rsid w:val="0077548E"/>
    <w:rsid w:val="00775931"/>
    <w:rsid w:val="0077597F"/>
    <w:rsid w:val="00775EF7"/>
    <w:rsid w:val="00776431"/>
    <w:rsid w:val="007773F2"/>
    <w:rsid w:val="0078032B"/>
    <w:rsid w:val="007808DB"/>
    <w:rsid w:val="00780970"/>
    <w:rsid w:val="00781B28"/>
    <w:rsid w:val="00781B3C"/>
    <w:rsid w:val="00781C6B"/>
    <w:rsid w:val="007820FB"/>
    <w:rsid w:val="0078221F"/>
    <w:rsid w:val="00782E22"/>
    <w:rsid w:val="00782F9A"/>
    <w:rsid w:val="00783034"/>
    <w:rsid w:val="00783319"/>
    <w:rsid w:val="0078337C"/>
    <w:rsid w:val="00783781"/>
    <w:rsid w:val="007839A1"/>
    <w:rsid w:val="00783A05"/>
    <w:rsid w:val="00783C4E"/>
    <w:rsid w:val="00783E13"/>
    <w:rsid w:val="00783EE8"/>
    <w:rsid w:val="0078470E"/>
    <w:rsid w:val="00784B78"/>
    <w:rsid w:val="007851BA"/>
    <w:rsid w:val="007852AB"/>
    <w:rsid w:val="007852C9"/>
    <w:rsid w:val="00785897"/>
    <w:rsid w:val="00785B12"/>
    <w:rsid w:val="007867B3"/>
    <w:rsid w:val="007867F5"/>
    <w:rsid w:val="00786F2F"/>
    <w:rsid w:val="007870FC"/>
    <w:rsid w:val="007875EE"/>
    <w:rsid w:val="0078768A"/>
    <w:rsid w:val="00787DB7"/>
    <w:rsid w:val="00787E40"/>
    <w:rsid w:val="00790017"/>
    <w:rsid w:val="0079011C"/>
    <w:rsid w:val="00790A73"/>
    <w:rsid w:val="00790FB0"/>
    <w:rsid w:val="00791593"/>
    <w:rsid w:val="007915A6"/>
    <w:rsid w:val="00792109"/>
    <w:rsid w:val="00792A67"/>
    <w:rsid w:val="007937EB"/>
    <w:rsid w:val="00795615"/>
    <w:rsid w:val="0079581A"/>
    <w:rsid w:val="007958FE"/>
    <w:rsid w:val="00796C25"/>
    <w:rsid w:val="00797E4C"/>
    <w:rsid w:val="007A07BC"/>
    <w:rsid w:val="007A0DB8"/>
    <w:rsid w:val="007A113F"/>
    <w:rsid w:val="007A1428"/>
    <w:rsid w:val="007A1478"/>
    <w:rsid w:val="007A14E7"/>
    <w:rsid w:val="007A2A8F"/>
    <w:rsid w:val="007A3135"/>
    <w:rsid w:val="007A3320"/>
    <w:rsid w:val="007A359B"/>
    <w:rsid w:val="007A3770"/>
    <w:rsid w:val="007A39ED"/>
    <w:rsid w:val="007A4391"/>
    <w:rsid w:val="007A49C8"/>
    <w:rsid w:val="007A4C75"/>
    <w:rsid w:val="007A4FC2"/>
    <w:rsid w:val="007A4FCD"/>
    <w:rsid w:val="007A548B"/>
    <w:rsid w:val="007A5626"/>
    <w:rsid w:val="007A5863"/>
    <w:rsid w:val="007A5884"/>
    <w:rsid w:val="007A5D8C"/>
    <w:rsid w:val="007A6A7F"/>
    <w:rsid w:val="007A6F55"/>
    <w:rsid w:val="007A6F7D"/>
    <w:rsid w:val="007A77E0"/>
    <w:rsid w:val="007A77EF"/>
    <w:rsid w:val="007A7C6E"/>
    <w:rsid w:val="007B06F9"/>
    <w:rsid w:val="007B0B1F"/>
    <w:rsid w:val="007B0DE8"/>
    <w:rsid w:val="007B1425"/>
    <w:rsid w:val="007B1529"/>
    <w:rsid w:val="007B1596"/>
    <w:rsid w:val="007B1C24"/>
    <w:rsid w:val="007B2315"/>
    <w:rsid w:val="007B2A71"/>
    <w:rsid w:val="007B2A9C"/>
    <w:rsid w:val="007B2FF3"/>
    <w:rsid w:val="007B3168"/>
    <w:rsid w:val="007B35BE"/>
    <w:rsid w:val="007B44E8"/>
    <w:rsid w:val="007B5442"/>
    <w:rsid w:val="007B58C8"/>
    <w:rsid w:val="007B5C95"/>
    <w:rsid w:val="007B60D4"/>
    <w:rsid w:val="007B6759"/>
    <w:rsid w:val="007B6A70"/>
    <w:rsid w:val="007B7372"/>
    <w:rsid w:val="007B7798"/>
    <w:rsid w:val="007C0A3C"/>
    <w:rsid w:val="007C1066"/>
    <w:rsid w:val="007C125D"/>
    <w:rsid w:val="007C12FA"/>
    <w:rsid w:val="007C1324"/>
    <w:rsid w:val="007C1FB3"/>
    <w:rsid w:val="007C2036"/>
    <w:rsid w:val="007C23AE"/>
    <w:rsid w:val="007C26B0"/>
    <w:rsid w:val="007C26F5"/>
    <w:rsid w:val="007C27A6"/>
    <w:rsid w:val="007C3408"/>
    <w:rsid w:val="007C4067"/>
    <w:rsid w:val="007C423A"/>
    <w:rsid w:val="007C4799"/>
    <w:rsid w:val="007C49F0"/>
    <w:rsid w:val="007C4C03"/>
    <w:rsid w:val="007C4E6C"/>
    <w:rsid w:val="007C51D8"/>
    <w:rsid w:val="007C52CC"/>
    <w:rsid w:val="007C55BF"/>
    <w:rsid w:val="007C5999"/>
    <w:rsid w:val="007C5BA6"/>
    <w:rsid w:val="007C65A4"/>
    <w:rsid w:val="007C6E63"/>
    <w:rsid w:val="007C713E"/>
    <w:rsid w:val="007C731C"/>
    <w:rsid w:val="007C7A22"/>
    <w:rsid w:val="007D09E9"/>
    <w:rsid w:val="007D1A9E"/>
    <w:rsid w:val="007D1FA2"/>
    <w:rsid w:val="007D1FF2"/>
    <w:rsid w:val="007D2173"/>
    <w:rsid w:val="007D23AE"/>
    <w:rsid w:val="007D2550"/>
    <w:rsid w:val="007D298F"/>
    <w:rsid w:val="007D3452"/>
    <w:rsid w:val="007D3C79"/>
    <w:rsid w:val="007D3D5A"/>
    <w:rsid w:val="007D44C5"/>
    <w:rsid w:val="007D4EDF"/>
    <w:rsid w:val="007D52E4"/>
    <w:rsid w:val="007D586A"/>
    <w:rsid w:val="007D5AEF"/>
    <w:rsid w:val="007D604D"/>
    <w:rsid w:val="007D635D"/>
    <w:rsid w:val="007D6724"/>
    <w:rsid w:val="007D6885"/>
    <w:rsid w:val="007D68CA"/>
    <w:rsid w:val="007D7243"/>
    <w:rsid w:val="007D729E"/>
    <w:rsid w:val="007D776E"/>
    <w:rsid w:val="007D7C25"/>
    <w:rsid w:val="007D7D6E"/>
    <w:rsid w:val="007E0138"/>
    <w:rsid w:val="007E11EE"/>
    <w:rsid w:val="007E1286"/>
    <w:rsid w:val="007E1447"/>
    <w:rsid w:val="007E14CE"/>
    <w:rsid w:val="007E185B"/>
    <w:rsid w:val="007E191D"/>
    <w:rsid w:val="007E205B"/>
    <w:rsid w:val="007E20AB"/>
    <w:rsid w:val="007E250F"/>
    <w:rsid w:val="007E28A0"/>
    <w:rsid w:val="007E3209"/>
    <w:rsid w:val="007E3543"/>
    <w:rsid w:val="007E3F4D"/>
    <w:rsid w:val="007E42C3"/>
    <w:rsid w:val="007E442B"/>
    <w:rsid w:val="007E460C"/>
    <w:rsid w:val="007E54B5"/>
    <w:rsid w:val="007E5592"/>
    <w:rsid w:val="007E58EA"/>
    <w:rsid w:val="007E5929"/>
    <w:rsid w:val="007E59D1"/>
    <w:rsid w:val="007E5A75"/>
    <w:rsid w:val="007E5CB8"/>
    <w:rsid w:val="007E6657"/>
    <w:rsid w:val="007E6BC7"/>
    <w:rsid w:val="007E725F"/>
    <w:rsid w:val="007E77CE"/>
    <w:rsid w:val="007E7DFD"/>
    <w:rsid w:val="007F0CAE"/>
    <w:rsid w:val="007F158D"/>
    <w:rsid w:val="007F1B46"/>
    <w:rsid w:val="007F1E6A"/>
    <w:rsid w:val="007F26A0"/>
    <w:rsid w:val="007F2EED"/>
    <w:rsid w:val="007F34AC"/>
    <w:rsid w:val="007F4888"/>
    <w:rsid w:val="007F4A45"/>
    <w:rsid w:val="007F50EA"/>
    <w:rsid w:val="007F529A"/>
    <w:rsid w:val="007F53A5"/>
    <w:rsid w:val="007F5648"/>
    <w:rsid w:val="007F5817"/>
    <w:rsid w:val="007F5DCD"/>
    <w:rsid w:val="007F6A3E"/>
    <w:rsid w:val="007F6E98"/>
    <w:rsid w:val="007F6F24"/>
    <w:rsid w:val="007F72DE"/>
    <w:rsid w:val="007F73C4"/>
    <w:rsid w:val="007F7E66"/>
    <w:rsid w:val="008002C3"/>
    <w:rsid w:val="008002F8"/>
    <w:rsid w:val="00800489"/>
    <w:rsid w:val="00800702"/>
    <w:rsid w:val="00800858"/>
    <w:rsid w:val="00800E52"/>
    <w:rsid w:val="00801123"/>
    <w:rsid w:val="0080154A"/>
    <w:rsid w:val="00801D92"/>
    <w:rsid w:val="00801E34"/>
    <w:rsid w:val="00802373"/>
    <w:rsid w:val="00802738"/>
    <w:rsid w:val="00802921"/>
    <w:rsid w:val="00802AA1"/>
    <w:rsid w:val="0080313A"/>
    <w:rsid w:val="008038C7"/>
    <w:rsid w:val="00803FF0"/>
    <w:rsid w:val="0080412E"/>
    <w:rsid w:val="00804781"/>
    <w:rsid w:val="00805478"/>
    <w:rsid w:val="00805B5F"/>
    <w:rsid w:val="00806235"/>
    <w:rsid w:val="00807028"/>
    <w:rsid w:val="008073D8"/>
    <w:rsid w:val="008073E9"/>
    <w:rsid w:val="00807EC1"/>
    <w:rsid w:val="00810094"/>
    <w:rsid w:val="00810442"/>
    <w:rsid w:val="00810572"/>
    <w:rsid w:val="0081083A"/>
    <w:rsid w:val="00810DA8"/>
    <w:rsid w:val="00810FAA"/>
    <w:rsid w:val="00811680"/>
    <w:rsid w:val="008117CE"/>
    <w:rsid w:val="0081193D"/>
    <w:rsid w:val="00812070"/>
    <w:rsid w:val="008124EE"/>
    <w:rsid w:val="008127C4"/>
    <w:rsid w:val="00812C97"/>
    <w:rsid w:val="00813EF5"/>
    <w:rsid w:val="00814027"/>
    <w:rsid w:val="008141E3"/>
    <w:rsid w:val="00814322"/>
    <w:rsid w:val="008146A4"/>
    <w:rsid w:val="00814EBD"/>
    <w:rsid w:val="008155E9"/>
    <w:rsid w:val="00815AAE"/>
    <w:rsid w:val="0081639F"/>
    <w:rsid w:val="008164A9"/>
    <w:rsid w:val="00816611"/>
    <w:rsid w:val="00816B12"/>
    <w:rsid w:val="00816CC3"/>
    <w:rsid w:val="00816D37"/>
    <w:rsid w:val="00817350"/>
    <w:rsid w:val="008173BC"/>
    <w:rsid w:val="0081785D"/>
    <w:rsid w:val="0082049C"/>
    <w:rsid w:val="00820A2C"/>
    <w:rsid w:val="00820D4C"/>
    <w:rsid w:val="00821628"/>
    <w:rsid w:val="0082169E"/>
    <w:rsid w:val="00821769"/>
    <w:rsid w:val="00821D04"/>
    <w:rsid w:val="00822387"/>
    <w:rsid w:val="00822870"/>
    <w:rsid w:val="00822A08"/>
    <w:rsid w:val="00822FB2"/>
    <w:rsid w:val="0082357B"/>
    <w:rsid w:val="00823643"/>
    <w:rsid w:val="00823881"/>
    <w:rsid w:val="00824951"/>
    <w:rsid w:val="00824E40"/>
    <w:rsid w:val="0082508F"/>
    <w:rsid w:val="008251E8"/>
    <w:rsid w:val="00825A3C"/>
    <w:rsid w:val="008268F7"/>
    <w:rsid w:val="00827263"/>
    <w:rsid w:val="008278CD"/>
    <w:rsid w:val="00827988"/>
    <w:rsid w:val="008300E2"/>
    <w:rsid w:val="008302E0"/>
    <w:rsid w:val="0083068F"/>
    <w:rsid w:val="008313C2"/>
    <w:rsid w:val="008317AF"/>
    <w:rsid w:val="00831F9A"/>
    <w:rsid w:val="00832068"/>
    <w:rsid w:val="00832433"/>
    <w:rsid w:val="00832476"/>
    <w:rsid w:val="00832AFF"/>
    <w:rsid w:val="00832E07"/>
    <w:rsid w:val="00832E8A"/>
    <w:rsid w:val="0083344C"/>
    <w:rsid w:val="00833533"/>
    <w:rsid w:val="00833991"/>
    <w:rsid w:val="00833CAC"/>
    <w:rsid w:val="008340B2"/>
    <w:rsid w:val="008341D2"/>
    <w:rsid w:val="00834896"/>
    <w:rsid w:val="00834A33"/>
    <w:rsid w:val="00835203"/>
    <w:rsid w:val="008356B5"/>
    <w:rsid w:val="00835AB8"/>
    <w:rsid w:val="008361D7"/>
    <w:rsid w:val="00836246"/>
    <w:rsid w:val="008363AF"/>
    <w:rsid w:val="008366C0"/>
    <w:rsid w:val="00836B40"/>
    <w:rsid w:val="00836B5E"/>
    <w:rsid w:val="00836FD9"/>
    <w:rsid w:val="00840133"/>
    <w:rsid w:val="00840323"/>
    <w:rsid w:val="008408A9"/>
    <w:rsid w:val="00840F30"/>
    <w:rsid w:val="00841470"/>
    <w:rsid w:val="008414A1"/>
    <w:rsid w:val="008415B8"/>
    <w:rsid w:val="00841A09"/>
    <w:rsid w:val="00841ABF"/>
    <w:rsid w:val="00841C60"/>
    <w:rsid w:val="0084263C"/>
    <w:rsid w:val="008426B4"/>
    <w:rsid w:val="00842B29"/>
    <w:rsid w:val="00842F80"/>
    <w:rsid w:val="00843171"/>
    <w:rsid w:val="0084349E"/>
    <w:rsid w:val="00843986"/>
    <w:rsid w:val="00843A7B"/>
    <w:rsid w:val="00844353"/>
    <w:rsid w:val="0084448C"/>
    <w:rsid w:val="00844559"/>
    <w:rsid w:val="00844674"/>
    <w:rsid w:val="0084493A"/>
    <w:rsid w:val="00844D17"/>
    <w:rsid w:val="00844D70"/>
    <w:rsid w:val="0084509B"/>
    <w:rsid w:val="008458E0"/>
    <w:rsid w:val="0084593A"/>
    <w:rsid w:val="008460BC"/>
    <w:rsid w:val="0084613C"/>
    <w:rsid w:val="00846734"/>
    <w:rsid w:val="00846CA3"/>
    <w:rsid w:val="00846D1C"/>
    <w:rsid w:val="00846DD6"/>
    <w:rsid w:val="00847051"/>
    <w:rsid w:val="00847222"/>
    <w:rsid w:val="00850220"/>
    <w:rsid w:val="0085061C"/>
    <w:rsid w:val="0085076D"/>
    <w:rsid w:val="00850B55"/>
    <w:rsid w:val="00850C9F"/>
    <w:rsid w:val="00851202"/>
    <w:rsid w:val="00851A24"/>
    <w:rsid w:val="00851CBC"/>
    <w:rsid w:val="00852255"/>
    <w:rsid w:val="008524E7"/>
    <w:rsid w:val="0085266E"/>
    <w:rsid w:val="00853111"/>
    <w:rsid w:val="008531F9"/>
    <w:rsid w:val="00853B18"/>
    <w:rsid w:val="00853BFD"/>
    <w:rsid w:val="00853E4A"/>
    <w:rsid w:val="008545D4"/>
    <w:rsid w:val="0085460A"/>
    <w:rsid w:val="00854BD0"/>
    <w:rsid w:val="00854D10"/>
    <w:rsid w:val="0085526E"/>
    <w:rsid w:val="00855B84"/>
    <w:rsid w:val="00856180"/>
    <w:rsid w:val="00856349"/>
    <w:rsid w:val="00856584"/>
    <w:rsid w:val="0085705B"/>
    <w:rsid w:val="00857094"/>
    <w:rsid w:val="008575A5"/>
    <w:rsid w:val="0085780B"/>
    <w:rsid w:val="00857C56"/>
    <w:rsid w:val="00860396"/>
    <w:rsid w:val="00861139"/>
    <w:rsid w:val="00861A83"/>
    <w:rsid w:val="00861CB0"/>
    <w:rsid w:val="00861F99"/>
    <w:rsid w:val="0086216F"/>
    <w:rsid w:val="008628F1"/>
    <w:rsid w:val="00863D4B"/>
    <w:rsid w:val="008645A8"/>
    <w:rsid w:val="008645C1"/>
    <w:rsid w:val="00864C72"/>
    <w:rsid w:val="00864DA3"/>
    <w:rsid w:val="00864DA6"/>
    <w:rsid w:val="00864F91"/>
    <w:rsid w:val="0086517F"/>
    <w:rsid w:val="00865BCC"/>
    <w:rsid w:val="008667E5"/>
    <w:rsid w:val="00866D3E"/>
    <w:rsid w:val="0087004F"/>
    <w:rsid w:val="008708F4"/>
    <w:rsid w:val="008717DA"/>
    <w:rsid w:val="00871D25"/>
    <w:rsid w:val="00871DA8"/>
    <w:rsid w:val="00872408"/>
    <w:rsid w:val="00872B68"/>
    <w:rsid w:val="008733F1"/>
    <w:rsid w:val="008739E8"/>
    <w:rsid w:val="00873A08"/>
    <w:rsid w:val="00874387"/>
    <w:rsid w:val="0087496F"/>
    <w:rsid w:val="00875E74"/>
    <w:rsid w:val="00875EEF"/>
    <w:rsid w:val="008760A4"/>
    <w:rsid w:val="008764DB"/>
    <w:rsid w:val="00876612"/>
    <w:rsid w:val="00876DAA"/>
    <w:rsid w:val="00876DF4"/>
    <w:rsid w:val="00876E8F"/>
    <w:rsid w:val="00877515"/>
    <w:rsid w:val="00877561"/>
    <w:rsid w:val="008775BB"/>
    <w:rsid w:val="0087778D"/>
    <w:rsid w:val="00877797"/>
    <w:rsid w:val="00877FED"/>
    <w:rsid w:val="0088003B"/>
    <w:rsid w:val="00880123"/>
    <w:rsid w:val="00881BF9"/>
    <w:rsid w:val="00882588"/>
    <w:rsid w:val="0088281A"/>
    <w:rsid w:val="008835C4"/>
    <w:rsid w:val="00883947"/>
    <w:rsid w:val="00884194"/>
    <w:rsid w:val="00884366"/>
    <w:rsid w:val="0088492D"/>
    <w:rsid w:val="00885A5F"/>
    <w:rsid w:val="00885BC2"/>
    <w:rsid w:val="00885EFF"/>
    <w:rsid w:val="00886F7C"/>
    <w:rsid w:val="0088719F"/>
    <w:rsid w:val="008874E6"/>
    <w:rsid w:val="0088782E"/>
    <w:rsid w:val="00887AC3"/>
    <w:rsid w:val="00887E2E"/>
    <w:rsid w:val="008903B2"/>
    <w:rsid w:val="00890A38"/>
    <w:rsid w:val="00890B25"/>
    <w:rsid w:val="00890C77"/>
    <w:rsid w:val="00890C78"/>
    <w:rsid w:val="0089152E"/>
    <w:rsid w:val="008919CA"/>
    <w:rsid w:val="008919E6"/>
    <w:rsid w:val="00891BE4"/>
    <w:rsid w:val="00891E70"/>
    <w:rsid w:val="00892257"/>
    <w:rsid w:val="0089286E"/>
    <w:rsid w:val="00892A00"/>
    <w:rsid w:val="00892A5E"/>
    <w:rsid w:val="00892B4C"/>
    <w:rsid w:val="00892E0A"/>
    <w:rsid w:val="00892E73"/>
    <w:rsid w:val="00893097"/>
    <w:rsid w:val="00893973"/>
    <w:rsid w:val="00893A07"/>
    <w:rsid w:val="00893B33"/>
    <w:rsid w:val="00894511"/>
    <w:rsid w:val="008946D1"/>
    <w:rsid w:val="008950DD"/>
    <w:rsid w:val="008951A9"/>
    <w:rsid w:val="0089569C"/>
    <w:rsid w:val="00895852"/>
    <w:rsid w:val="00895D96"/>
    <w:rsid w:val="00896D8E"/>
    <w:rsid w:val="00897132"/>
    <w:rsid w:val="008974B3"/>
    <w:rsid w:val="008A059A"/>
    <w:rsid w:val="008A0C58"/>
    <w:rsid w:val="008A0CFF"/>
    <w:rsid w:val="008A0EAC"/>
    <w:rsid w:val="008A118D"/>
    <w:rsid w:val="008A1BB3"/>
    <w:rsid w:val="008A3003"/>
    <w:rsid w:val="008A32AD"/>
    <w:rsid w:val="008A3BEA"/>
    <w:rsid w:val="008A3DAF"/>
    <w:rsid w:val="008A4A6C"/>
    <w:rsid w:val="008A4AAF"/>
    <w:rsid w:val="008A4D5E"/>
    <w:rsid w:val="008A51EA"/>
    <w:rsid w:val="008A54AF"/>
    <w:rsid w:val="008A56D8"/>
    <w:rsid w:val="008A582F"/>
    <w:rsid w:val="008A5904"/>
    <w:rsid w:val="008A5F31"/>
    <w:rsid w:val="008A5F87"/>
    <w:rsid w:val="008A6378"/>
    <w:rsid w:val="008A698E"/>
    <w:rsid w:val="008A69EA"/>
    <w:rsid w:val="008A6D62"/>
    <w:rsid w:val="008A6E7A"/>
    <w:rsid w:val="008A6F84"/>
    <w:rsid w:val="008A73AA"/>
    <w:rsid w:val="008A7884"/>
    <w:rsid w:val="008A7D14"/>
    <w:rsid w:val="008B008B"/>
    <w:rsid w:val="008B0376"/>
    <w:rsid w:val="008B0A25"/>
    <w:rsid w:val="008B0D95"/>
    <w:rsid w:val="008B1496"/>
    <w:rsid w:val="008B1F7F"/>
    <w:rsid w:val="008B27AD"/>
    <w:rsid w:val="008B3017"/>
    <w:rsid w:val="008B34A7"/>
    <w:rsid w:val="008B3616"/>
    <w:rsid w:val="008B3A04"/>
    <w:rsid w:val="008B40EF"/>
    <w:rsid w:val="008B411A"/>
    <w:rsid w:val="008B4D8F"/>
    <w:rsid w:val="008B4DC9"/>
    <w:rsid w:val="008B5235"/>
    <w:rsid w:val="008B5B9D"/>
    <w:rsid w:val="008B6421"/>
    <w:rsid w:val="008B6614"/>
    <w:rsid w:val="008B6E1A"/>
    <w:rsid w:val="008B7718"/>
    <w:rsid w:val="008B7742"/>
    <w:rsid w:val="008B77F2"/>
    <w:rsid w:val="008B7C92"/>
    <w:rsid w:val="008B7CBF"/>
    <w:rsid w:val="008C0BE2"/>
    <w:rsid w:val="008C148F"/>
    <w:rsid w:val="008C17DE"/>
    <w:rsid w:val="008C207B"/>
    <w:rsid w:val="008C271A"/>
    <w:rsid w:val="008C2F84"/>
    <w:rsid w:val="008C3106"/>
    <w:rsid w:val="008C3B7D"/>
    <w:rsid w:val="008C3F99"/>
    <w:rsid w:val="008C4111"/>
    <w:rsid w:val="008C4225"/>
    <w:rsid w:val="008C45D8"/>
    <w:rsid w:val="008C466D"/>
    <w:rsid w:val="008C4676"/>
    <w:rsid w:val="008C46DF"/>
    <w:rsid w:val="008C4B24"/>
    <w:rsid w:val="008C588D"/>
    <w:rsid w:val="008C5A4D"/>
    <w:rsid w:val="008C5A54"/>
    <w:rsid w:val="008C604B"/>
    <w:rsid w:val="008C6FDE"/>
    <w:rsid w:val="008C706F"/>
    <w:rsid w:val="008C7EB9"/>
    <w:rsid w:val="008D0D0E"/>
    <w:rsid w:val="008D0DA9"/>
    <w:rsid w:val="008D1BF0"/>
    <w:rsid w:val="008D1C85"/>
    <w:rsid w:val="008D2098"/>
    <w:rsid w:val="008D2C0F"/>
    <w:rsid w:val="008D43E4"/>
    <w:rsid w:val="008D4487"/>
    <w:rsid w:val="008D45D2"/>
    <w:rsid w:val="008D4BE3"/>
    <w:rsid w:val="008D4D1A"/>
    <w:rsid w:val="008D4D20"/>
    <w:rsid w:val="008D5093"/>
    <w:rsid w:val="008D5586"/>
    <w:rsid w:val="008D61DD"/>
    <w:rsid w:val="008D6E30"/>
    <w:rsid w:val="008D6F59"/>
    <w:rsid w:val="008D747A"/>
    <w:rsid w:val="008D79CB"/>
    <w:rsid w:val="008D7F49"/>
    <w:rsid w:val="008E0330"/>
    <w:rsid w:val="008E0901"/>
    <w:rsid w:val="008E09AD"/>
    <w:rsid w:val="008E0D65"/>
    <w:rsid w:val="008E2296"/>
    <w:rsid w:val="008E235D"/>
    <w:rsid w:val="008E41CB"/>
    <w:rsid w:val="008E4260"/>
    <w:rsid w:val="008E4856"/>
    <w:rsid w:val="008E489F"/>
    <w:rsid w:val="008E4DAD"/>
    <w:rsid w:val="008E4E64"/>
    <w:rsid w:val="008E5438"/>
    <w:rsid w:val="008E5B96"/>
    <w:rsid w:val="008E5D35"/>
    <w:rsid w:val="008E6523"/>
    <w:rsid w:val="008E6582"/>
    <w:rsid w:val="008E6B37"/>
    <w:rsid w:val="008E6B82"/>
    <w:rsid w:val="008E704E"/>
    <w:rsid w:val="008E736D"/>
    <w:rsid w:val="008E7865"/>
    <w:rsid w:val="008E7D24"/>
    <w:rsid w:val="008F031A"/>
    <w:rsid w:val="008F0B1B"/>
    <w:rsid w:val="008F0CF1"/>
    <w:rsid w:val="008F1342"/>
    <w:rsid w:val="008F1A38"/>
    <w:rsid w:val="008F1D75"/>
    <w:rsid w:val="008F1FD3"/>
    <w:rsid w:val="008F25B5"/>
    <w:rsid w:val="008F270D"/>
    <w:rsid w:val="008F27D9"/>
    <w:rsid w:val="008F2FB9"/>
    <w:rsid w:val="008F341B"/>
    <w:rsid w:val="008F35A9"/>
    <w:rsid w:val="008F3B2E"/>
    <w:rsid w:val="008F3E0A"/>
    <w:rsid w:val="008F455C"/>
    <w:rsid w:val="008F457E"/>
    <w:rsid w:val="008F5472"/>
    <w:rsid w:val="008F5C46"/>
    <w:rsid w:val="008F6134"/>
    <w:rsid w:val="008F614D"/>
    <w:rsid w:val="008F63BC"/>
    <w:rsid w:val="008F6650"/>
    <w:rsid w:val="008F681F"/>
    <w:rsid w:val="008F6BD9"/>
    <w:rsid w:val="008F7441"/>
    <w:rsid w:val="008F7767"/>
    <w:rsid w:val="008F7E81"/>
    <w:rsid w:val="00900390"/>
    <w:rsid w:val="00900C29"/>
    <w:rsid w:val="00900F5B"/>
    <w:rsid w:val="00900FA7"/>
    <w:rsid w:val="009010F1"/>
    <w:rsid w:val="009012DA"/>
    <w:rsid w:val="009014D4"/>
    <w:rsid w:val="00902932"/>
    <w:rsid w:val="00902A45"/>
    <w:rsid w:val="0090327A"/>
    <w:rsid w:val="009037DD"/>
    <w:rsid w:val="00903F29"/>
    <w:rsid w:val="009049B1"/>
    <w:rsid w:val="00904B43"/>
    <w:rsid w:val="00904C83"/>
    <w:rsid w:val="00904F2B"/>
    <w:rsid w:val="009051D8"/>
    <w:rsid w:val="0090563A"/>
    <w:rsid w:val="00905A9C"/>
    <w:rsid w:val="00905F7B"/>
    <w:rsid w:val="0090661A"/>
    <w:rsid w:val="00906BDF"/>
    <w:rsid w:val="00907112"/>
    <w:rsid w:val="009071CD"/>
    <w:rsid w:val="00907AB5"/>
    <w:rsid w:val="00907D62"/>
    <w:rsid w:val="00910190"/>
    <w:rsid w:val="0091019A"/>
    <w:rsid w:val="009101EE"/>
    <w:rsid w:val="0091025E"/>
    <w:rsid w:val="009104E9"/>
    <w:rsid w:val="0091083D"/>
    <w:rsid w:val="00910A64"/>
    <w:rsid w:val="00910CD0"/>
    <w:rsid w:val="0091174C"/>
    <w:rsid w:val="00911AE3"/>
    <w:rsid w:val="009126D1"/>
    <w:rsid w:val="009127E4"/>
    <w:rsid w:val="00912BAD"/>
    <w:rsid w:val="00912D1B"/>
    <w:rsid w:val="009133E3"/>
    <w:rsid w:val="009138EE"/>
    <w:rsid w:val="00913A80"/>
    <w:rsid w:val="00913C34"/>
    <w:rsid w:val="00913FB4"/>
    <w:rsid w:val="0091450F"/>
    <w:rsid w:val="00914A4D"/>
    <w:rsid w:val="00914EB6"/>
    <w:rsid w:val="00915289"/>
    <w:rsid w:val="00915A8D"/>
    <w:rsid w:val="00915AB1"/>
    <w:rsid w:val="00915B9F"/>
    <w:rsid w:val="00915E4B"/>
    <w:rsid w:val="009166D9"/>
    <w:rsid w:val="00916CCC"/>
    <w:rsid w:val="00917265"/>
    <w:rsid w:val="0091753F"/>
    <w:rsid w:val="00917665"/>
    <w:rsid w:val="00917E6D"/>
    <w:rsid w:val="00920474"/>
    <w:rsid w:val="00920D48"/>
    <w:rsid w:val="009213BA"/>
    <w:rsid w:val="009214B5"/>
    <w:rsid w:val="009218B4"/>
    <w:rsid w:val="00921AEA"/>
    <w:rsid w:val="00922B0A"/>
    <w:rsid w:val="00922C47"/>
    <w:rsid w:val="00923541"/>
    <w:rsid w:val="0092367B"/>
    <w:rsid w:val="009238DE"/>
    <w:rsid w:val="00924174"/>
    <w:rsid w:val="00924403"/>
    <w:rsid w:val="00924430"/>
    <w:rsid w:val="00924A05"/>
    <w:rsid w:val="00924A90"/>
    <w:rsid w:val="00924C91"/>
    <w:rsid w:val="0092518D"/>
    <w:rsid w:val="00925A84"/>
    <w:rsid w:val="00926592"/>
    <w:rsid w:val="00926A56"/>
    <w:rsid w:val="00926E07"/>
    <w:rsid w:val="00926ED8"/>
    <w:rsid w:val="00927195"/>
    <w:rsid w:val="00927C51"/>
    <w:rsid w:val="00927D3B"/>
    <w:rsid w:val="00927F1A"/>
    <w:rsid w:val="009306F1"/>
    <w:rsid w:val="00930A76"/>
    <w:rsid w:val="00930B17"/>
    <w:rsid w:val="00931049"/>
    <w:rsid w:val="00931203"/>
    <w:rsid w:val="00931288"/>
    <w:rsid w:val="0093131C"/>
    <w:rsid w:val="00931504"/>
    <w:rsid w:val="00931F8E"/>
    <w:rsid w:val="0093273F"/>
    <w:rsid w:val="00932B6F"/>
    <w:rsid w:val="00932C85"/>
    <w:rsid w:val="00932DC6"/>
    <w:rsid w:val="00932E00"/>
    <w:rsid w:val="00933323"/>
    <w:rsid w:val="009333C4"/>
    <w:rsid w:val="0093348C"/>
    <w:rsid w:val="0093360F"/>
    <w:rsid w:val="00933C7E"/>
    <w:rsid w:val="0093452A"/>
    <w:rsid w:val="0093459F"/>
    <w:rsid w:val="0093461E"/>
    <w:rsid w:val="00934ECB"/>
    <w:rsid w:val="00935101"/>
    <w:rsid w:val="0093535C"/>
    <w:rsid w:val="00935825"/>
    <w:rsid w:val="00935BE0"/>
    <w:rsid w:val="00935E1C"/>
    <w:rsid w:val="009367CE"/>
    <w:rsid w:val="0093680E"/>
    <w:rsid w:val="009368E0"/>
    <w:rsid w:val="00936BCB"/>
    <w:rsid w:val="00936E8E"/>
    <w:rsid w:val="00936F0E"/>
    <w:rsid w:val="009370DB"/>
    <w:rsid w:val="00937943"/>
    <w:rsid w:val="00937974"/>
    <w:rsid w:val="00937AD2"/>
    <w:rsid w:val="00937D73"/>
    <w:rsid w:val="009403AB"/>
    <w:rsid w:val="009407E8"/>
    <w:rsid w:val="009408FD"/>
    <w:rsid w:val="00940E40"/>
    <w:rsid w:val="0094134C"/>
    <w:rsid w:val="0094182E"/>
    <w:rsid w:val="00941959"/>
    <w:rsid w:val="00941A8F"/>
    <w:rsid w:val="00941B2C"/>
    <w:rsid w:val="009428DE"/>
    <w:rsid w:val="00942ABA"/>
    <w:rsid w:val="00942CF2"/>
    <w:rsid w:val="00942E03"/>
    <w:rsid w:val="00942F8A"/>
    <w:rsid w:val="009430E8"/>
    <w:rsid w:val="00943387"/>
    <w:rsid w:val="00943756"/>
    <w:rsid w:val="00943C9D"/>
    <w:rsid w:val="00943D82"/>
    <w:rsid w:val="00943E9E"/>
    <w:rsid w:val="0094406E"/>
    <w:rsid w:val="00944A28"/>
    <w:rsid w:val="00945267"/>
    <w:rsid w:val="009452D9"/>
    <w:rsid w:val="00945549"/>
    <w:rsid w:val="009455B6"/>
    <w:rsid w:val="00945B03"/>
    <w:rsid w:val="00945F04"/>
    <w:rsid w:val="00947153"/>
    <w:rsid w:val="0094753E"/>
    <w:rsid w:val="009476DC"/>
    <w:rsid w:val="0094783E"/>
    <w:rsid w:val="00947E08"/>
    <w:rsid w:val="00950004"/>
    <w:rsid w:val="0095109D"/>
    <w:rsid w:val="009513D8"/>
    <w:rsid w:val="00951873"/>
    <w:rsid w:val="00952108"/>
    <w:rsid w:val="009527DC"/>
    <w:rsid w:val="00952E2D"/>
    <w:rsid w:val="009541DB"/>
    <w:rsid w:val="00954B6C"/>
    <w:rsid w:val="00955940"/>
    <w:rsid w:val="00955B1B"/>
    <w:rsid w:val="00955BFE"/>
    <w:rsid w:val="00955D62"/>
    <w:rsid w:val="00955EF1"/>
    <w:rsid w:val="0095616C"/>
    <w:rsid w:val="00956306"/>
    <w:rsid w:val="00956824"/>
    <w:rsid w:val="00956828"/>
    <w:rsid w:val="00956BBE"/>
    <w:rsid w:val="0095764D"/>
    <w:rsid w:val="0096028E"/>
    <w:rsid w:val="0096039C"/>
    <w:rsid w:val="00960409"/>
    <w:rsid w:val="00960624"/>
    <w:rsid w:val="0096084A"/>
    <w:rsid w:val="00960D09"/>
    <w:rsid w:val="009612D8"/>
    <w:rsid w:val="00962440"/>
    <w:rsid w:val="00962495"/>
    <w:rsid w:val="0096253F"/>
    <w:rsid w:val="0096273F"/>
    <w:rsid w:val="00962D63"/>
    <w:rsid w:val="0096309E"/>
    <w:rsid w:val="00963417"/>
    <w:rsid w:val="009634F8"/>
    <w:rsid w:val="0096372E"/>
    <w:rsid w:val="00963E88"/>
    <w:rsid w:val="00963FAE"/>
    <w:rsid w:val="009644A9"/>
    <w:rsid w:val="00964DA3"/>
    <w:rsid w:val="00965332"/>
    <w:rsid w:val="009655C1"/>
    <w:rsid w:val="00965FC8"/>
    <w:rsid w:val="00965FD8"/>
    <w:rsid w:val="0096662C"/>
    <w:rsid w:val="00966A53"/>
    <w:rsid w:val="00966C5D"/>
    <w:rsid w:val="00967108"/>
    <w:rsid w:val="009671A8"/>
    <w:rsid w:val="0096727E"/>
    <w:rsid w:val="00967A9E"/>
    <w:rsid w:val="00967AB7"/>
    <w:rsid w:val="00970219"/>
    <w:rsid w:val="0097051F"/>
    <w:rsid w:val="00970ABE"/>
    <w:rsid w:val="00970DB3"/>
    <w:rsid w:val="009710C2"/>
    <w:rsid w:val="00971353"/>
    <w:rsid w:val="00971703"/>
    <w:rsid w:val="00971DDE"/>
    <w:rsid w:val="00971DF0"/>
    <w:rsid w:val="00971FB4"/>
    <w:rsid w:val="00972232"/>
    <w:rsid w:val="0097254C"/>
    <w:rsid w:val="00973290"/>
    <w:rsid w:val="00973470"/>
    <w:rsid w:val="00973BE8"/>
    <w:rsid w:val="00973C1E"/>
    <w:rsid w:val="00973D1B"/>
    <w:rsid w:val="00973DA8"/>
    <w:rsid w:val="009744E3"/>
    <w:rsid w:val="009751A2"/>
    <w:rsid w:val="0097556A"/>
    <w:rsid w:val="00975EC7"/>
    <w:rsid w:val="0097637B"/>
    <w:rsid w:val="009763B6"/>
    <w:rsid w:val="00976B8D"/>
    <w:rsid w:val="00976BBA"/>
    <w:rsid w:val="00976F5C"/>
    <w:rsid w:val="00977369"/>
    <w:rsid w:val="009776E9"/>
    <w:rsid w:val="00977C89"/>
    <w:rsid w:val="00977E31"/>
    <w:rsid w:val="00977FAA"/>
    <w:rsid w:val="00980886"/>
    <w:rsid w:val="00980BB0"/>
    <w:rsid w:val="00980BF8"/>
    <w:rsid w:val="00980F72"/>
    <w:rsid w:val="009811DE"/>
    <w:rsid w:val="0098258B"/>
    <w:rsid w:val="00982877"/>
    <w:rsid w:val="00982A8F"/>
    <w:rsid w:val="00982EE0"/>
    <w:rsid w:val="00983252"/>
    <w:rsid w:val="009832C7"/>
    <w:rsid w:val="00983AD2"/>
    <w:rsid w:val="009846C6"/>
    <w:rsid w:val="00984858"/>
    <w:rsid w:val="00984969"/>
    <w:rsid w:val="00984FAE"/>
    <w:rsid w:val="00985303"/>
    <w:rsid w:val="00985380"/>
    <w:rsid w:val="009854E7"/>
    <w:rsid w:val="0098554D"/>
    <w:rsid w:val="009855D7"/>
    <w:rsid w:val="0098594C"/>
    <w:rsid w:val="00986795"/>
    <w:rsid w:val="00986FF5"/>
    <w:rsid w:val="0098772D"/>
    <w:rsid w:val="00987805"/>
    <w:rsid w:val="0099012E"/>
    <w:rsid w:val="00990239"/>
    <w:rsid w:val="00990669"/>
    <w:rsid w:val="00990F7F"/>
    <w:rsid w:val="00991A8A"/>
    <w:rsid w:val="00991BCD"/>
    <w:rsid w:val="00991C78"/>
    <w:rsid w:val="009923B9"/>
    <w:rsid w:val="00992ECF"/>
    <w:rsid w:val="00993C02"/>
    <w:rsid w:val="009940F5"/>
    <w:rsid w:val="00994489"/>
    <w:rsid w:val="00995391"/>
    <w:rsid w:val="00995C31"/>
    <w:rsid w:val="00996768"/>
    <w:rsid w:val="009967EB"/>
    <w:rsid w:val="009968E0"/>
    <w:rsid w:val="00996919"/>
    <w:rsid w:val="00997182"/>
    <w:rsid w:val="009973F2"/>
    <w:rsid w:val="00997B0C"/>
    <w:rsid w:val="009A04DE"/>
    <w:rsid w:val="009A0CE6"/>
    <w:rsid w:val="009A1295"/>
    <w:rsid w:val="009A1B32"/>
    <w:rsid w:val="009A260A"/>
    <w:rsid w:val="009A31F6"/>
    <w:rsid w:val="009A380A"/>
    <w:rsid w:val="009A39EE"/>
    <w:rsid w:val="009A420C"/>
    <w:rsid w:val="009A449F"/>
    <w:rsid w:val="009A45B0"/>
    <w:rsid w:val="009A481D"/>
    <w:rsid w:val="009A4ABB"/>
    <w:rsid w:val="009A52EC"/>
    <w:rsid w:val="009A53EE"/>
    <w:rsid w:val="009A56D4"/>
    <w:rsid w:val="009A64D5"/>
    <w:rsid w:val="009A734A"/>
    <w:rsid w:val="009A7F8B"/>
    <w:rsid w:val="009B01C5"/>
    <w:rsid w:val="009B0225"/>
    <w:rsid w:val="009B0390"/>
    <w:rsid w:val="009B059A"/>
    <w:rsid w:val="009B075F"/>
    <w:rsid w:val="009B0B02"/>
    <w:rsid w:val="009B0D64"/>
    <w:rsid w:val="009B0D74"/>
    <w:rsid w:val="009B145C"/>
    <w:rsid w:val="009B2551"/>
    <w:rsid w:val="009B300F"/>
    <w:rsid w:val="009B3865"/>
    <w:rsid w:val="009B3C71"/>
    <w:rsid w:val="009B487D"/>
    <w:rsid w:val="009B525F"/>
    <w:rsid w:val="009B53CA"/>
    <w:rsid w:val="009B5751"/>
    <w:rsid w:val="009B5844"/>
    <w:rsid w:val="009B6806"/>
    <w:rsid w:val="009B6CDC"/>
    <w:rsid w:val="009B6F56"/>
    <w:rsid w:val="009B79FF"/>
    <w:rsid w:val="009C0107"/>
    <w:rsid w:val="009C051A"/>
    <w:rsid w:val="009C07CD"/>
    <w:rsid w:val="009C0881"/>
    <w:rsid w:val="009C0F02"/>
    <w:rsid w:val="009C1029"/>
    <w:rsid w:val="009C1564"/>
    <w:rsid w:val="009C200A"/>
    <w:rsid w:val="009C2094"/>
    <w:rsid w:val="009C24D1"/>
    <w:rsid w:val="009C299A"/>
    <w:rsid w:val="009C2A86"/>
    <w:rsid w:val="009C2C42"/>
    <w:rsid w:val="009C47CF"/>
    <w:rsid w:val="009C4AAB"/>
    <w:rsid w:val="009C4C68"/>
    <w:rsid w:val="009C572E"/>
    <w:rsid w:val="009C59B6"/>
    <w:rsid w:val="009C61FA"/>
    <w:rsid w:val="009C6292"/>
    <w:rsid w:val="009C62D6"/>
    <w:rsid w:val="009C6796"/>
    <w:rsid w:val="009C6E7A"/>
    <w:rsid w:val="009C74B2"/>
    <w:rsid w:val="009C7B51"/>
    <w:rsid w:val="009D03B8"/>
    <w:rsid w:val="009D0805"/>
    <w:rsid w:val="009D0E00"/>
    <w:rsid w:val="009D0E65"/>
    <w:rsid w:val="009D0EE2"/>
    <w:rsid w:val="009D108F"/>
    <w:rsid w:val="009D1646"/>
    <w:rsid w:val="009D1790"/>
    <w:rsid w:val="009D1D3F"/>
    <w:rsid w:val="009D1FB9"/>
    <w:rsid w:val="009D2690"/>
    <w:rsid w:val="009D26C5"/>
    <w:rsid w:val="009D42CB"/>
    <w:rsid w:val="009D4858"/>
    <w:rsid w:val="009D4A02"/>
    <w:rsid w:val="009D536D"/>
    <w:rsid w:val="009D562A"/>
    <w:rsid w:val="009D5C2D"/>
    <w:rsid w:val="009D5D1D"/>
    <w:rsid w:val="009D5FC1"/>
    <w:rsid w:val="009D63D9"/>
    <w:rsid w:val="009D6C77"/>
    <w:rsid w:val="009D6D30"/>
    <w:rsid w:val="009D6E65"/>
    <w:rsid w:val="009D722B"/>
    <w:rsid w:val="009D75D1"/>
    <w:rsid w:val="009E006B"/>
    <w:rsid w:val="009E0D47"/>
    <w:rsid w:val="009E0F84"/>
    <w:rsid w:val="009E0FC1"/>
    <w:rsid w:val="009E1125"/>
    <w:rsid w:val="009E1BBB"/>
    <w:rsid w:val="009E2394"/>
    <w:rsid w:val="009E3271"/>
    <w:rsid w:val="009E365B"/>
    <w:rsid w:val="009E38C6"/>
    <w:rsid w:val="009E3913"/>
    <w:rsid w:val="009E3E5D"/>
    <w:rsid w:val="009E4060"/>
    <w:rsid w:val="009E4ABE"/>
    <w:rsid w:val="009E4F01"/>
    <w:rsid w:val="009E57AA"/>
    <w:rsid w:val="009E57F6"/>
    <w:rsid w:val="009E67D2"/>
    <w:rsid w:val="009E6BE6"/>
    <w:rsid w:val="009E7439"/>
    <w:rsid w:val="009E75B0"/>
    <w:rsid w:val="009F0251"/>
    <w:rsid w:val="009F052F"/>
    <w:rsid w:val="009F06F2"/>
    <w:rsid w:val="009F0799"/>
    <w:rsid w:val="009F118A"/>
    <w:rsid w:val="009F1BD6"/>
    <w:rsid w:val="009F1F48"/>
    <w:rsid w:val="009F2C34"/>
    <w:rsid w:val="009F3504"/>
    <w:rsid w:val="009F38B8"/>
    <w:rsid w:val="009F3A01"/>
    <w:rsid w:val="009F3A59"/>
    <w:rsid w:val="009F3B68"/>
    <w:rsid w:val="009F44D3"/>
    <w:rsid w:val="009F4737"/>
    <w:rsid w:val="009F4785"/>
    <w:rsid w:val="009F544B"/>
    <w:rsid w:val="009F59B4"/>
    <w:rsid w:val="009F5E87"/>
    <w:rsid w:val="009F66B7"/>
    <w:rsid w:val="009F6BE1"/>
    <w:rsid w:val="009F6C52"/>
    <w:rsid w:val="009F7380"/>
    <w:rsid w:val="009F7FA0"/>
    <w:rsid w:val="00A0013F"/>
    <w:rsid w:val="00A0034E"/>
    <w:rsid w:val="00A00479"/>
    <w:rsid w:val="00A004BB"/>
    <w:rsid w:val="00A01149"/>
    <w:rsid w:val="00A01860"/>
    <w:rsid w:val="00A01944"/>
    <w:rsid w:val="00A02571"/>
    <w:rsid w:val="00A0263B"/>
    <w:rsid w:val="00A02A14"/>
    <w:rsid w:val="00A02C2B"/>
    <w:rsid w:val="00A03002"/>
    <w:rsid w:val="00A03075"/>
    <w:rsid w:val="00A032A7"/>
    <w:rsid w:val="00A03BA4"/>
    <w:rsid w:val="00A0407E"/>
    <w:rsid w:val="00A0420E"/>
    <w:rsid w:val="00A045BF"/>
    <w:rsid w:val="00A058E6"/>
    <w:rsid w:val="00A05D51"/>
    <w:rsid w:val="00A0687A"/>
    <w:rsid w:val="00A068A5"/>
    <w:rsid w:val="00A06962"/>
    <w:rsid w:val="00A06F76"/>
    <w:rsid w:val="00A0703D"/>
    <w:rsid w:val="00A07142"/>
    <w:rsid w:val="00A071B8"/>
    <w:rsid w:val="00A07571"/>
    <w:rsid w:val="00A0776D"/>
    <w:rsid w:val="00A07AEB"/>
    <w:rsid w:val="00A07FA3"/>
    <w:rsid w:val="00A10912"/>
    <w:rsid w:val="00A10F35"/>
    <w:rsid w:val="00A11AF2"/>
    <w:rsid w:val="00A11E56"/>
    <w:rsid w:val="00A120A0"/>
    <w:rsid w:val="00A12363"/>
    <w:rsid w:val="00A124BA"/>
    <w:rsid w:val="00A1278E"/>
    <w:rsid w:val="00A12B2C"/>
    <w:rsid w:val="00A13589"/>
    <w:rsid w:val="00A13677"/>
    <w:rsid w:val="00A1448B"/>
    <w:rsid w:val="00A1487A"/>
    <w:rsid w:val="00A14EF0"/>
    <w:rsid w:val="00A158D8"/>
    <w:rsid w:val="00A15ACB"/>
    <w:rsid w:val="00A163CD"/>
    <w:rsid w:val="00A16AA1"/>
    <w:rsid w:val="00A172D1"/>
    <w:rsid w:val="00A1732F"/>
    <w:rsid w:val="00A17531"/>
    <w:rsid w:val="00A17B41"/>
    <w:rsid w:val="00A17F4D"/>
    <w:rsid w:val="00A20200"/>
    <w:rsid w:val="00A2058F"/>
    <w:rsid w:val="00A20FF1"/>
    <w:rsid w:val="00A21C88"/>
    <w:rsid w:val="00A221EF"/>
    <w:rsid w:val="00A2358E"/>
    <w:rsid w:val="00A2491C"/>
    <w:rsid w:val="00A24BD6"/>
    <w:rsid w:val="00A24F3C"/>
    <w:rsid w:val="00A25208"/>
    <w:rsid w:val="00A25749"/>
    <w:rsid w:val="00A25856"/>
    <w:rsid w:val="00A259E4"/>
    <w:rsid w:val="00A25A94"/>
    <w:rsid w:val="00A25F94"/>
    <w:rsid w:val="00A26264"/>
    <w:rsid w:val="00A26285"/>
    <w:rsid w:val="00A26497"/>
    <w:rsid w:val="00A26B65"/>
    <w:rsid w:val="00A26E3C"/>
    <w:rsid w:val="00A27C00"/>
    <w:rsid w:val="00A27ED8"/>
    <w:rsid w:val="00A3009B"/>
    <w:rsid w:val="00A30992"/>
    <w:rsid w:val="00A30D1A"/>
    <w:rsid w:val="00A31545"/>
    <w:rsid w:val="00A318A2"/>
    <w:rsid w:val="00A32494"/>
    <w:rsid w:val="00A325FB"/>
    <w:rsid w:val="00A32888"/>
    <w:rsid w:val="00A32B2B"/>
    <w:rsid w:val="00A333FE"/>
    <w:rsid w:val="00A33BA6"/>
    <w:rsid w:val="00A349AB"/>
    <w:rsid w:val="00A34D01"/>
    <w:rsid w:val="00A350CE"/>
    <w:rsid w:val="00A35358"/>
    <w:rsid w:val="00A35591"/>
    <w:rsid w:val="00A3572F"/>
    <w:rsid w:val="00A35BF2"/>
    <w:rsid w:val="00A35D4E"/>
    <w:rsid w:val="00A35DF2"/>
    <w:rsid w:val="00A35F57"/>
    <w:rsid w:val="00A36179"/>
    <w:rsid w:val="00A36292"/>
    <w:rsid w:val="00A367E6"/>
    <w:rsid w:val="00A367EE"/>
    <w:rsid w:val="00A371E4"/>
    <w:rsid w:val="00A37346"/>
    <w:rsid w:val="00A37624"/>
    <w:rsid w:val="00A377FD"/>
    <w:rsid w:val="00A37AE1"/>
    <w:rsid w:val="00A37D8C"/>
    <w:rsid w:val="00A417E9"/>
    <w:rsid w:val="00A42B04"/>
    <w:rsid w:val="00A43BDA"/>
    <w:rsid w:val="00A43D58"/>
    <w:rsid w:val="00A448F2"/>
    <w:rsid w:val="00A44B45"/>
    <w:rsid w:val="00A45169"/>
    <w:rsid w:val="00A45331"/>
    <w:rsid w:val="00A45586"/>
    <w:rsid w:val="00A45DDB"/>
    <w:rsid w:val="00A45FB1"/>
    <w:rsid w:val="00A46381"/>
    <w:rsid w:val="00A463CB"/>
    <w:rsid w:val="00A46C97"/>
    <w:rsid w:val="00A47288"/>
    <w:rsid w:val="00A47838"/>
    <w:rsid w:val="00A47BB7"/>
    <w:rsid w:val="00A51FF5"/>
    <w:rsid w:val="00A527D6"/>
    <w:rsid w:val="00A53BF8"/>
    <w:rsid w:val="00A5587A"/>
    <w:rsid w:val="00A569E2"/>
    <w:rsid w:val="00A56C20"/>
    <w:rsid w:val="00A57190"/>
    <w:rsid w:val="00A57D45"/>
    <w:rsid w:val="00A60110"/>
    <w:rsid w:val="00A60147"/>
    <w:rsid w:val="00A60309"/>
    <w:rsid w:val="00A6059D"/>
    <w:rsid w:val="00A607E6"/>
    <w:rsid w:val="00A6088D"/>
    <w:rsid w:val="00A60A0B"/>
    <w:rsid w:val="00A60D46"/>
    <w:rsid w:val="00A60F7F"/>
    <w:rsid w:val="00A62312"/>
    <w:rsid w:val="00A6237B"/>
    <w:rsid w:val="00A6261A"/>
    <w:rsid w:val="00A62863"/>
    <w:rsid w:val="00A62B65"/>
    <w:rsid w:val="00A6387C"/>
    <w:rsid w:val="00A63A83"/>
    <w:rsid w:val="00A63D78"/>
    <w:rsid w:val="00A63E97"/>
    <w:rsid w:val="00A643F9"/>
    <w:rsid w:val="00A64941"/>
    <w:rsid w:val="00A65121"/>
    <w:rsid w:val="00A652E7"/>
    <w:rsid w:val="00A6578F"/>
    <w:rsid w:val="00A65BBD"/>
    <w:rsid w:val="00A65CC3"/>
    <w:rsid w:val="00A65D9D"/>
    <w:rsid w:val="00A661C8"/>
    <w:rsid w:val="00A66580"/>
    <w:rsid w:val="00A66BF2"/>
    <w:rsid w:val="00A672A3"/>
    <w:rsid w:val="00A67B6B"/>
    <w:rsid w:val="00A67D2D"/>
    <w:rsid w:val="00A67F57"/>
    <w:rsid w:val="00A702F5"/>
    <w:rsid w:val="00A7116E"/>
    <w:rsid w:val="00A71D38"/>
    <w:rsid w:val="00A721A5"/>
    <w:rsid w:val="00A7304C"/>
    <w:rsid w:val="00A73A6B"/>
    <w:rsid w:val="00A73B03"/>
    <w:rsid w:val="00A73EC4"/>
    <w:rsid w:val="00A74461"/>
    <w:rsid w:val="00A74798"/>
    <w:rsid w:val="00A74AE1"/>
    <w:rsid w:val="00A74FCA"/>
    <w:rsid w:val="00A753DA"/>
    <w:rsid w:val="00A75ABC"/>
    <w:rsid w:val="00A766E4"/>
    <w:rsid w:val="00A7788C"/>
    <w:rsid w:val="00A80056"/>
    <w:rsid w:val="00A80EB3"/>
    <w:rsid w:val="00A817EA"/>
    <w:rsid w:val="00A82B53"/>
    <w:rsid w:val="00A82F06"/>
    <w:rsid w:val="00A82F7F"/>
    <w:rsid w:val="00A8364D"/>
    <w:rsid w:val="00A8372C"/>
    <w:rsid w:val="00A837A1"/>
    <w:rsid w:val="00A83EAE"/>
    <w:rsid w:val="00A84353"/>
    <w:rsid w:val="00A84BA3"/>
    <w:rsid w:val="00A84F4C"/>
    <w:rsid w:val="00A84F50"/>
    <w:rsid w:val="00A84F83"/>
    <w:rsid w:val="00A85168"/>
    <w:rsid w:val="00A851ED"/>
    <w:rsid w:val="00A85265"/>
    <w:rsid w:val="00A852C2"/>
    <w:rsid w:val="00A855F9"/>
    <w:rsid w:val="00A85EA5"/>
    <w:rsid w:val="00A86018"/>
    <w:rsid w:val="00A86312"/>
    <w:rsid w:val="00A86CDA"/>
    <w:rsid w:val="00A86D7E"/>
    <w:rsid w:val="00A86E95"/>
    <w:rsid w:val="00A90194"/>
    <w:rsid w:val="00A90A2F"/>
    <w:rsid w:val="00A90E17"/>
    <w:rsid w:val="00A90FE0"/>
    <w:rsid w:val="00A91398"/>
    <w:rsid w:val="00A916A8"/>
    <w:rsid w:val="00A919A5"/>
    <w:rsid w:val="00A92050"/>
    <w:rsid w:val="00A9222B"/>
    <w:rsid w:val="00A924A3"/>
    <w:rsid w:val="00A9277C"/>
    <w:rsid w:val="00A9299C"/>
    <w:rsid w:val="00A92FFD"/>
    <w:rsid w:val="00A934D2"/>
    <w:rsid w:val="00A93C17"/>
    <w:rsid w:val="00A93DD9"/>
    <w:rsid w:val="00A93ED6"/>
    <w:rsid w:val="00A9451B"/>
    <w:rsid w:val="00A94880"/>
    <w:rsid w:val="00A94AB2"/>
    <w:rsid w:val="00A94C4A"/>
    <w:rsid w:val="00A94E4A"/>
    <w:rsid w:val="00A952EA"/>
    <w:rsid w:val="00A9531D"/>
    <w:rsid w:val="00A954CF"/>
    <w:rsid w:val="00A96186"/>
    <w:rsid w:val="00A96CEE"/>
    <w:rsid w:val="00A97264"/>
    <w:rsid w:val="00A973AB"/>
    <w:rsid w:val="00A9762E"/>
    <w:rsid w:val="00A97871"/>
    <w:rsid w:val="00A97B4F"/>
    <w:rsid w:val="00AA0AEA"/>
    <w:rsid w:val="00AA1019"/>
    <w:rsid w:val="00AA11BC"/>
    <w:rsid w:val="00AA123F"/>
    <w:rsid w:val="00AA1341"/>
    <w:rsid w:val="00AA1C5C"/>
    <w:rsid w:val="00AA2092"/>
    <w:rsid w:val="00AA2577"/>
    <w:rsid w:val="00AA3DF1"/>
    <w:rsid w:val="00AA4867"/>
    <w:rsid w:val="00AA4AE4"/>
    <w:rsid w:val="00AA4F12"/>
    <w:rsid w:val="00AA5549"/>
    <w:rsid w:val="00AA5A4D"/>
    <w:rsid w:val="00AA5EEC"/>
    <w:rsid w:val="00AA5F4F"/>
    <w:rsid w:val="00AA60A2"/>
    <w:rsid w:val="00AA6185"/>
    <w:rsid w:val="00AA690A"/>
    <w:rsid w:val="00AA6AC4"/>
    <w:rsid w:val="00AA6CB7"/>
    <w:rsid w:val="00AA757B"/>
    <w:rsid w:val="00AA781F"/>
    <w:rsid w:val="00AA791C"/>
    <w:rsid w:val="00AA7C9A"/>
    <w:rsid w:val="00AA7E78"/>
    <w:rsid w:val="00AB0717"/>
    <w:rsid w:val="00AB0AE7"/>
    <w:rsid w:val="00AB0BF7"/>
    <w:rsid w:val="00AB10C3"/>
    <w:rsid w:val="00AB1356"/>
    <w:rsid w:val="00AB1A12"/>
    <w:rsid w:val="00AB1A62"/>
    <w:rsid w:val="00AB2467"/>
    <w:rsid w:val="00AB2781"/>
    <w:rsid w:val="00AB29F9"/>
    <w:rsid w:val="00AB2A6E"/>
    <w:rsid w:val="00AB315B"/>
    <w:rsid w:val="00AB3290"/>
    <w:rsid w:val="00AB3573"/>
    <w:rsid w:val="00AB36BD"/>
    <w:rsid w:val="00AB3905"/>
    <w:rsid w:val="00AB3D03"/>
    <w:rsid w:val="00AB4212"/>
    <w:rsid w:val="00AB42BA"/>
    <w:rsid w:val="00AB476B"/>
    <w:rsid w:val="00AB488A"/>
    <w:rsid w:val="00AB48D3"/>
    <w:rsid w:val="00AB4F9B"/>
    <w:rsid w:val="00AB54A7"/>
    <w:rsid w:val="00AB54D2"/>
    <w:rsid w:val="00AB5A3C"/>
    <w:rsid w:val="00AB5A86"/>
    <w:rsid w:val="00AB5E88"/>
    <w:rsid w:val="00AB61CD"/>
    <w:rsid w:val="00AB6344"/>
    <w:rsid w:val="00AB6AF5"/>
    <w:rsid w:val="00AB6B73"/>
    <w:rsid w:val="00AB7084"/>
    <w:rsid w:val="00AB717C"/>
    <w:rsid w:val="00AB7343"/>
    <w:rsid w:val="00AB7795"/>
    <w:rsid w:val="00AB7FED"/>
    <w:rsid w:val="00AC061F"/>
    <w:rsid w:val="00AC1164"/>
    <w:rsid w:val="00AC20C7"/>
    <w:rsid w:val="00AC248E"/>
    <w:rsid w:val="00AC272A"/>
    <w:rsid w:val="00AC2BFB"/>
    <w:rsid w:val="00AC3082"/>
    <w:rsid w:val="00AC30DF"/>
    <w:rsid w:val="00AC33F9"/>
    <w:rsid w:val="00AC3503"/>
    <w:rsid w:val="00AC3AC5"/>
    <w:rsid w:val="00AC3D0F"/>
    <w:rsid w:val="00AC46F6"/>
    <w:rsid w:val="00AC58D8"/>
    <w:rsid w:val="00AC5AF4"/>
    <w:rsid w:val="00AC79B2"/>
    <w:rsid w:val="00AC7BA7"/>
    <w:rsid w:val="00AC7C76"/>
    <w:rsid w:val="00AD0824"/>
    <w:rsid w:val="00AD0CDC"/>
    <w:rsid w:val="00AD1509"/>
    <w:rsid w:val="00AD22AB"/>
    <w:rsid w:val="00AD27E9"/>
    <w:rsid w:val="00AD2B6D"/>
    <w:rsid w:val="00AD2F12"/>
    <w:rsid w:val="00AD3E5A"/>
    <w:rsid w:val="00AD457F"/>
    <w:rsid w:val="00AD4581"/>
    <w:rsid w:val="00AD47EB"/>
    <w:rsid w:val="00AD48C6"/>
    <w:rsid w:val="00AD524D"/>
    <w:rsid w:val="00AD536D"/>
    <w:rsid w:val="00AD56A9"/>
    <w:rsid w:val="00AD5750"/>
    <w:rsid w:val="00AD5C18"/>
    <w:rsid w:val="00AD5E4F"/>
    <w:rsid w:val="00AD5F3D"/>
    <w:rsid w:val="00AD605D"/>
    <w:rsid w:val="00AD6387"/>
    <w:rsid w:val="00AD7369"/>
    <w:rsid w:val="00AD764D"/>
    <w:rsid w:val="00AE048B"/>
    <w:rsid w:val="00AE0E6C"/>
    <w:rsid w:val="00AE101F"/>
    <w:rsid w:val="00AE1EBD"/>
    <w:rsid w:val="00AE32B0"/>
    <w:rsid w:val="00AE3578"/>
    <w:rsid w:val="00AE37B2"/>
    <w:rsid w:val="00AE37C2"/>
    <w:rsid w:val="00AE3809"/>
    <w:rsid w:val="00AE399B"/>
    <w:rsid w:val="00AE3DB7"/>
    <w:rsid w:val="00AE45FD"/>
    <w:rsid w:val="00AE51F9"/>
    <w:rsid w:val="00AE53CA"/>
    <w:rsid w:val="00AE54FA"/>
    <w:rsid w:val="00AE575A"/>
    <w:rsid w:val="00AE58AA"/>
    <w:rsid w:val="00AE5F33"/>
    <w:rsid w:val="00AE6921"/>
    <w:rsid w:val="00AE7001"/>
    <w:rsid w:val="00AE721C"/>
    <w:rsid w:val="00AE77CF"/>
    <w:rsid w:val="00AE78E7"/>
    <w:rsid w:val="00AE7A2A"/>
    <w:rsid w:val="00AF0041"/>
    <w:rsid w:val="00AF09C9"/>
    <w:rsid w:val="00AF0B5F"/>
    <w:rsid w:val="00AF0DFB"/>
    <w:rsid w:val="00AF1207"/>
    <w:rsid w:val="00AF165A"/>
    <w:rsid w:val="00AF1899"/>
    <w:rsid w:val="00AF24A6"/>
    <w:rsid w:val="00AF2EF8"/>
    <w:rsid w:val="00AF3149"/>
    <w:rsid w:val="00AF3637"/>
    <w:rsid w:val="00AF3C34"/>
    <w:rsid w:val="00AF4C6E"/>
    <w:rsid w:val="00AF4E22"/>
    <w:rsid w:val="00AF4E77"/>
    <w:rsid w:val="00AF52EE"/>
    <w:rsid w:val="00AF5605"/>
    <w:rsid w:val="00AF5C5C"/>
    <w:rsid w:val="00AF5CD0"/>
    <w:rsid w:val="00AF6000"/>
    <w:rsid w:val="00AF649F"/>
    <w:rsid w:val="00AF69F1"/>
    <w:rsid w:val="00AF6F67"/>
    <w:rsid w:val="00AF78F0"/>
    <w:rsid w:val="00AF7CE3"/>
    <w:rsid w:val="00AF7E5D"/>
    <w:rsid w:val="00B00852"/>
    <w:rsid w:val="00B01662"/>
    <w:rsid w:val="00B017B6"/>
    <w:rsid w:val="00B01AB9"/>
    <w:rsid w:val="00B01D0B"/>
    <w:rsid w:val="00B01FB3"/>
    <w:rsid w:val="00B0249D"/>
    <w:rsid w:val="00B031A2"/>
    <w:rsid w:val="00B0375B"/>
    <w:rsid w:val="00B038A6"/>
    <w:rsid w:val="00B03BA1"/>
    <w:rsid w:val="00B03D90"/>
    <w:rsid w:val="00B04CDA"/>
    <w:rsid w:val="00B04EAA"/>
    <w:rsid w:val="00B04FC0"/>
    <w:rsid w:val="00B058F6"/>
    <w:rsid w:val="00B05C21"/>
    <w:rsid w:val="00B0616A"/>
    <w:rsid w:val="00B06901"/>
    <w:rsid w:val="00B06C46"/>
    <w:rsid w:val="00B0766D"/>
    <w:rsid w:val="00B07B41"/>
    <w:rsid w:val="00B07B5D"/>
    <w:rsid w:val="00B102CA"/>
    <w:rsid w:val="00B1046E"/>
    <w:rsid w:val="00B1065E"/>
    <w:rsid w:val="00B1097D"/>
    <w:rsid w:val="00B10AFC"/>
    <w:rsid w:val="00B10E1A"/>
    <w:rsid w:val="00B112BD"/>
    <w:rsid w:val="00B11392"/>
    <w:rsid w:val="00B11452"/>
    <w:rsid w:val="00B118EE"/>
    <w:rsid w:val="00B12446"/>
    <w:rsid w:val="00B1268C"/>
    <w:rsid w:val="00B12701"/>
    <w:rsid w:val="00B12E9A"/>
    <w:rsid w:val="00B12FB9"/>
    <w:rsid w:val="00B133AE"/>
    <w:rsid w:val="00B139D0"/>
    <w:rsid w:val="00B14080"/>
    <w:rsid w:val="00B14204"/>
    <w:rsid w:val="00B144E2"/>
    <w:rsid w:val="00B14572"/>
    <w:rsid w:val="00B1471A"/>
    <w:rsid w:val="00B1481A"/>
    <w:rsid w:val="00B14A71"/>
    <w:rsid w:val="00B15732"/>
    <w:rsid w:val="00B1602B"/>
    <w:rsid w:val="00B1604E"/>
    <w:rsid w:val="00B17551"/>
    <w:rsid w:val="00B2015C"/>
    <w:rsid w:val="00B204BF"/>
    <w:rsid w:val="00B2087E"/>
    <w:rsid w:val="00B20A75"/>
    <w:rsid w:val="00B21057"/>
    <w:rsid w:val="00B21CDA"/>
    <w:rsid w:val="00B21CDF"/>
    <w:rsid w:val="00B223BD"/>
    <w:rsid w:val="00B22B6C"/>
    <w:rsid w:val="00B22BAD"/>
    <w:rsid w:val="00B239D5"/>
    <w:rsid w:val="00B23EB1"/>
    <w:rsid w:val="00B24623"/>
    <w:rsid w:val="00B249FD"/>
    <w:rsid w:val="00B24C9E"/>
    <w:rsid w:val="00B25318"/>
    <w:rsid w:val="00B253AC"/>
    <w:rsid w:val="00B2569E"/>
    <w:rsid w:val="00B2577E"/>
    <w:rsid w:val="00B257BC"/>
    <w:rsid w:val="00B25A95"/>
    <w:rsid w:val="00B2668C"/>
    <w:rsid w:val="00B268D6"/>
    <w:rsid w:val="00B26929"/>
    <w:rsid w:val="00B26D40"/>
    <w:rsid w:val="00B271A0"/>
    <w:rsid w:val="00B27CE0"/>
    <w:rsid w:val="00B30746"/>
    <w:rsid w:val="00B309E7"/>
    <w:rsid w:val="00B30CBB"/>
    <w:rsid w:val="00B30DB5"/>
    <w:rsid w:val="00B30E76"/>
    <w:rsid w:val="00B30ED3"/>
    <w:rsid w:val="00B31126"/>
    <w:rsid w:val="00B31641"/>
    <w:rsid w:val="00B31BE3"/>
    <w:rsid w:val="00B324C4"/>
    <w:rsid w:val="00B32DE8"/>
    <w:rsid w:val="00B332B0"/>
    <w:rsid w:val="00B33418"/>
    <w:rsid w:val="00B33421"/>
    <w:rsid w:val="00B334F9"/>
    <w:rsid w:val="00B33740"/>
    <w:rsid w:val="00B3401F"/>
    <w:rsid w:val="00B340BA"/>
    <w:rsid w:val="00B34C08"/>
    <w:rsid w:val="00B34EEF"/>
    <w:rsid w:val="00B365A2"/>
    <w:rsid w:val="00B36B20"/>
    <w:rsid w:val="00B372C3"/>
    <w:rsid w:val="00B376B0"/>
    <w:rsid w:val="00B37FF9"/>
    <w:rsid w:val="00B4062C"/>
    <w:rsid w:val="00B407A4"/>
    <w:rsid w:val="00B409FE"/>
    <w:rsid w:val="00B40DAD"/>
    <w:rsid w:val="00B40F84"/>
    <w:rsid w:val="00B40FAA"/>
    <w:rsid w:val="00B414BB"/>
    <w:rsid w:val="00B41500"/>
    <w:rsid w:val="00B415E6"/>
    <w:rsid w:val="00B41956"/>
    <w:rsid w:val="00B41C48"/>
    <w:rsid w:val="00B41E57"/>
    <w:rsid w:val="00B42022"/>
    <w:rsid w:val="00B42BE7"/>
    <w:rsid w:val="00B42E65"/>
    <w:rsid w:val="00B43356"/>
    <w:rsid w:val="00B43416"/>
    <w:rsid w:val="00B4395E"/>
    <w:rsid w:val="00B43979"/>
    <w:rsid w:val="00B44177"/>
    <w:rsid w:val="00B44280"/>
    <w:rsid w:val="00B444BD"/>
    <w:rsid w:val="00B44591"/>
    <w:rsid w:val="00B44CF9"/>
    <w:rsid w:val="00B45D6C"/>
    <w:rsid w:val="00B4615C"/>
    <w:rsid w:val="00B46972"/>
    <w:rsid w:val="00B469C1"/>
    <w:rsid w:val="00B46AA2"/>
    <w:rsid w:val="00B4707A"/>
    <w:rsid w:val="00B47381"/>
    <w:rsid w:val="00B476A3"/>
    <w:rsid w:val="00B47F93"/>
    <w:rsid w:val="00B501DC"/>
    <w:rsid w:val="00B5029E"/>
    <w:rsid w:val="00B50313"/>
    <w:rsid w:val="00B50B6D"/>
    <w:rsid w:val="00B51449"/>
    <w:rsid w:val="00B51610"/>
    <w:rsid w:val="00B520C8"/>
    <w:rsid w:val="00B5223C"/>
    <w:rsid w:val="00B52822"/>
    <w:rsid w:val="00B52D3C"/>
    <w:rsid w:val="00B5313C"/>
    <w:rsid w:val="00B5358F"/>
    <w:rsid w:val="00B53F76"/>
    <w:rsid w:val="00B54CCD"/>
    <w:rsid w:val="00B552DF"/>
    <w:rsid w:val="00B55615"/>
    <w:rsid w:val="00B556B8"/>
    <w:rsid w:val="00B55732"/>
    <w:rsid w:val="00B55A71"/>
    <w:rsid w:val="00B562C7"/>
    <w:rsid w:val="00B56399"/>
    <w:rsid w:val="00B56605"/>
    <w:rsid w:val="00B566BB"/>
    <w:rsid w:val="00B56940"/>
    <w:rsid w:val="00B570C4"/>
    <w:rsid w:val="00B57178"/>
    <w:rsid w:val="00B5729A"/>
    <w:rsid w:val="00B579A3"/>
    <w:rsid w:val="00B60436"/>
    <w:rsid w:val="00B605FB"/>
    <w:rsid w:val="00B60618"/>
    <w:rsid w:val="00B61315"/>
    <w:rsid w:val="00B61441"/>
    <w:rsid w:val="00B618B9"/>
    <w:rsid w:val="00B61AE3"/>
    <w:rsid w:val="00B61D17"/>
    <w:rsid w:val="00B626DD"/>
    <w:rsid w:val="00B62BAF"/>
    <w:rsid w:val="00B62E7C"/>
    <w:rsid w:val="00B63048"/>
    <w:rsid w:val="00B644E6"/>
    <w:rsid w:val="00B646A1"/>
    <w:rsid w:val="00B65778"/>
    <w:rsid w:val="00B65893"/>
    <w:rsid w:val="00B65AB3"/>
    <w:rsid w:val="00B65CC3"/>
    <w:rsid w:val="00B660FA"/>
    <w:rsid w:val="00B662E7"/>
    <w:rsid w:val="00B66C95"/>
    <w:rsid w:val="00B66DE4"/>
    <w:rsid w:val="00B66E1F"/>
    <w:rsid w:val="00B67C18"/>
    <w:rsid w:val="00B700CB"/>
    <w:rsid w:val="00B703A3"/>
    <w:rsid w:val="00B706AE"/>
    <w:rsid w:val="00B715B4"/>
    <w:rsid w:val="00B71782"/>
    <w:rsid w:val="00B7180C"/>
    <w:rsid w:val="00B71B51"/>
    <w:rsid w:val="00B7250E"/>
    <w:rsid w:val="00B72672"/>
    <w:rsid w:val="00B728FB"/>
    <w:rsid w:val="00B73560"/>
    <w:rsid w:val="00B73D4A"/>
    <w:rsid w:val="00B73DB7"/>
    <w:rsid w:val="00B7487A"/>
    <w:rsid w:val="00B757E2"/>
    <w:rsid w:val="00B75D35"/>
    <w:rsid w:val="00B75D59"/>
    <w:rsid w:val="00B75DF4"/>
    <w:rsid w:val="00B762B9"/>
    <w:rsid w:val="00B763F3"/>
    <w:rsid w:val="00B769C5"/>
    <w:rsid w:val="00B7700B"/>
    <w:rsid w:val="00B7717C"/>
    <w:rsid w:val="00B7792F"/>
    <w:rsid w:val="00B779BC"/>
    <w:rsid w:val="00B77B17"/>
    <w:rsid w:val="00B77BA5"/>
    <w:rsid w:val="00B808B1"/>
    <w:rsid w:val="00B80E05"/>
    <w:rsid w:val="00B8158E"/>
    <w:rsid w:val="00B817FD"/>
    <w:rsid w:val="00B822AD"/>
    <w:rsid w:val="00B82E65"/>
    <w:rsid w:val="00B8315F"/>
    <w:rsid w:val="00B832C9"/>
    <w:rsid w:val="00B8345D"/>
    <w:rsid w:val="00B83510"/>
    <w:rsid w:val="00B849ED"/>
    <w:rsid w:val="00B84A9F"/>
    <w:rsid w:val="00B84FCE"/>
    <w:rsid w:val="00B8517B"/>
    <w:rsid w:val="00B855CB"/>
    <w:rsid w:val="00B85898"/>
    <w:rsid w:val="00B85AC9"/>
    <w:rsid w:val="00B8601D"/>
    <w:rsid w:val="00B86F00"/>
    <w:rsid w:val="00B87109"/>
    <w:rsid w:val="00B877A2"/>
    <w:rsid w:val="00B87B77"/>
    <w:rsid w:val="00B87C0A"/>
    <w:rsid w:val="00B901E9"/>
    <w:rsid w:val="00B90354"/>
    <w:rsid w:val="00B90747"/>
    <w:rsid w:val="00B90B23"/>
    <w:rsid w:val="00B90D5A"/>
    <w:rsid w:val="00B913CB"/>
    <w:rsid w:val="00B914BE"/>
    <w:rsid w:val="00B915A8"/>
    <w:rsid w:val="00B91703"/>
    <w:rsid w:val="00B921A4"/>
    <w:rsid w:val="00B922F6"/>
    <w:rsid w:val="00B9230A"/>
    <w:rsid w:val="00B925C4"/>
    <w:rsid w:val="00B9296E"/>
    <w:rsid w:val="00B92DFE"/>
    <w:rsid w:val="00B92ED7"/>
    <w:rsid w:val="00B9333D"/>
    <w:rsid w:val="00B9344E"/>
    <w:rsid w:val="00B934BF"/>
    <w:rsid w:val="00B93ABF"/>
    <w:rsid w:val="00B93E34"/>
    <w:rsid w:val="00B93F9F"/>
    <w:rsid w:val="00B94117"/>
    <w:rsid w:val="00B946FA"/>
    <w:rsid w:val="00B9472A"/>
    <w:rsid w:val="00B94D99"/>
    <w:rsid w:val="00B954AB"/>
    <w:rsid w:val="00B95617"/>
    <w:rsid w:val="00B95E45"/>
    <w:rsid w:val="00B960F5"/>
    <w:rsid w:val="00B961AC"/>
    <w:rsid w:val="00B966D2"/>
    <w:rsid w:val="00B969AE"/>
    <w:rsid w:val="00B96A40"/>
    <w:rsid w:val="00B9700C"/>
    <w:rsid w:val="00B970A6"/>
    <w:rsid w:val="00B976EE"/>
    <w:rsid w:val="00BA0528"/>
    <w:rsid w:val="00BA09EF"/>
    <w:rsid w:val="00BA0BCF"/>
    <w:rsid w:val="00BA14CC"/>
    <w:rsid w:val="00BA18FD"/>
    <w:rsid w:val="00BA1EB3"/>
    <w:rsid w:val="00BA22C7"/>
    <w:rsid w:val="00BA237B"/>
    <w:rsid w:val="00BA3214"/>
    <w:rsid w:val="00BA414F"/>
    <w:rsid w:val="00BA4F54"/>
    <w:rsid w:val="00BA519E"/>
    <w:rsid w:val="00BA635C"/>
    <w:rsid w:val="00BA68A3"/>
    <w:rsid w:val="00BA6A01"/>
    <w:rsid w:val="00BA6C94"/>
    <w:rsid w:val="00BA7498"/>
    <w:rsid w:val="00BA7D67"/>
    <w:rsid w:val="00BB0063"/>
    <w:rsid w:val="00BB055A"/>
    <w:rsid w:val="00BB0835"/>
    <w:rsid w:val="00BB0BB8"/>
    <w:rsid w:val="00BB0C8A"/>
    <w:rsid w:val="00BB102C"/>
    <w:rsid w:val="00BB1687"/>
    <w:rsid w:val="00BB1BF1"/>
    <w:rsid w:val="00BB2426"/>
    <w:rsid w:val="00BB2753"/>
    <w:rsid w:val="00BB29A2"/>
    <w:rsid w:val="00BB3491"/>
    <w:rsid w:val="00BB3815"/>
    <w:rsid w:val="00BB43C1"/>
    <w:rsid w:val="00BB47E6"/>
    <w:rsid w:val="00BB4831"/>
    <w:rsid w:val="00BB5BF3"/>
    <w:rsid w:val="00BB642C"/>
    <w:rsid w:val="00BB6585"/>
    <w:rsid w:val="00BB65EB"/>
    <w:rsid w:val="00BB6B34"/>
    <w:rsid w:val="00BB700D"/>
    <w:rsid w:val="00BB768C"/>
    <w:rsid w:val="00BB79AE"/>
    <w:rsid w:val="00BB7C11"/>
    <w:rsid w:val="00BB7CF5"/>
    <w:rsid w:val="00BB7F6E"/>
    <w:rsid w:val="00BC00A0"/>
    <w:rsid w:val="00BC02D1"/>
    <w:rsid w:val="00BC07DF"/>
    <w:rsid w:val="00BC0A04"/>
    <w:rsid w:val="00BC0EEB"/>
    <w:rsid w:val="00BC0F2C"/>
    <w:rsid w:val="00BC11A7"/>
    <w:rsid w:val="00BC265D"/>
    <w:rsid w:val="00BC2C79"/>
    <w:rsid w:val="00BC2C9F"/>
    <w:rsid w:val="00BC2FB8"/>
    <w:rsid w:val="00BC306E"/>
    <w:rsid w:val="00BC31DF"/>
    <w:rsid w:val="00BC33FE"/>
    <w:rsid w:val="00BC37CD"/>
    <w:rsid w:val="00BC4068"/>
    <w:rsid w:val="00BC454E"/>
    <w:rsid w:val="00BC4BE8"/>
    <w:rsid w:val="00BC4C39"/>
    <w:rsid w:val="00BC4E83"/>
    <w:rsid w:val="00BC5D01"/>
    <w:rsid w:val="00BC69A4"/>
    <w:rsid w:val="00BC713B"/>
    <w:rsid w:val="00BC7C65"/>
    <w:rsid w:val="00BD143B"/>
    <w:rsid w:val="00BD1511"/>
    <w:rsid w:val="00BD15BA"/>
    <w:rsid w:val="00BD1C8C"/>
    <w:rsid w:val="00BD20C5"/>
    <w:rsid w:val="00BD2409"/>
    <w:rsid w:val="00BD32D1"/>
    <w:rsid w:val="00BD352C"/>
    <w:rsid w:val="00BD40E9"/>
    <w:rsid w:val="00BD47E2"/>
    <w:rsid w:val="00BD4812"/>
    <w:rsid w:val="00BD5897"/>
    <w:rsid w:val="00BD5B9A"/>
    <w:rsid w:val="00BD5E2C"/>
    <w:rsid w:val="00BD61E0"/>
    <w:rsid w:val="00BD631B"/>
    <w:rsid w:val="00BD6372"/>
    <w:rsid w:val="00BD673E"/>
    <w:rsid w:val="00BD6CEA"/>
    <w:rsid w:val="00BD6DD7"/>
    <w:rsid w:val="00BD7892"/>
    <w:rsid w:val="00BD7D16"/>
    <w:rsid w:val="00BE0400"/>
    <w:rsid w:val="00BE1586"/>
    <w:rsid w:val="00BE1C9D"/>
    <w:rsid w:val="00BE218A"/>
    <w:rsid w:val="00BE2E0D"/>
    <w:rsid w:val="00BE32A8"/>
    <w:rsid w:val="00BE35BA"/>
    <w:rsid w:val="00BE361B"/>
    <w:rsid w:val="00BE37D4"/>
    <w:rsid w:val="00BE3B78"/>
    <w:rsid w:val="00BE3ED1"/>
    <w:rsid w:val="00BE4011"/>
    <w:rsid w:val="00BE42A5"/>
    <w:rsid w:val="00BE43DA"/>
    <w:rsid w:val="00BE48B0"/>
    <w:rsid w:val="00BE4E40"/>
    <w:rsid w:val="00BE4F3D"/>
    <w:rsid w:val="00BE546E"/>
    <w:rsid w:val="00BE5529"/>
    <w:rsid w:val="00BE56C1"/>
    <w:rsid w:val="00BE5FAE"/>
    <w:rsid w:val="00BE6D76"/>
    <w:rsid w:val="00BE79B6"/>
    <w:rsid w:val="00BE7AB8"/>
    <w:rsid w:val="00BE7BE2"/>
    <w:rsid w:val="00BE7F6E"/>
    <w:rsid w:val="00BF086D"/>
    <w:rsid w:val="00BF08D3"/>
    <w:rsid w:val="00BF08FA"/>
    <w:rsid w:val="00BF096C"/>
    <w:rsid w:val="00BF0E85"/>
    <w:rsid w:val="00BF1023"/>
    <w:rsid w:val="00BF1610"/>
    <w:rsid w:val="00BF1F1A"/>
    <w:rsid w:val="00BF225B"/>
    <w:rsid w:val="00BF27A9"/>
    <w:rsid w:val="00BF306A"/>
    <w:rsid w:val="00BF32D9"/>
    <w:rsid w:val="00BF36F7"/>
    <w:rsid w:val="00BF37D4"/>
    <w:rsid w:val="00BF3DB5"/>
    <w:rsid w:val="00BF3DF9"/>
    <w:rsid w:val="00BF3EC9"/>
    <w:rsid w:val="00BF4551"/>
    <w:rsid w:val="00BF4B35"/>
    <w:rsid w:val="00BF4D82"/>
    <w:rsid w:val="00BF4FA6"/>
    <w:rsid w:val="00BF52E4"/>
    <w:rsid w:val="00BF5382"/>
    <w:rsid w:val="00BF551A"/>
    <w:rsid w:val="00BF57BA"/>
    <w:rsid w:val="00BF5B20"/>
    <w:rsid w:val="00BF5E03"/>
    <w:rsid w:val="00BF5F38"/>
    <w:rsid w:val="00BF6864"/>
    <w:rsid w:val="00BF688E"/>
    <w:rsid w:val="00BF773E"/>
    <w:rsid w:val="00BF7B8A"/>
    <w:rsid w:val="00BF7FA6"/>
    <w:rsid w:val="00C000E1"/>
    <w:rsid w:val="00C0097C"/>
    <w:rsid w:val="00C00ED0"/>
    <w:rsid w:val="00C0125B"/>
    <w:rsid w:val="00C01480"/>
    <w:rsid w:val="00C0149D"/>
    <w:rsid w:val="00C016EB"/>
    <w:rsid w:val="00C01DA2"/>
    <w:rsid w:val="00C025FF"/>
    <w:rsid w:val="00C0261C"/>
    <w:rsid w:val="00C02856"/>
    <w:rsid w:val="00C02B28"/>
    <w:rsid w:val="00C03412"/>
    <w:rsid w:val="00C034AE"/>
    <w:rsid w:val="00C034AF"/>
    <w:rsid w:val="00C03B1F"/>
    <w:rsid w:val="00C03F28"/>
    <w:rsid w:val="00C04251"/>
    <w:rsid w:val="00C043EF"/>
    <w:rsid w:val="00C044E3"/>
    <w:rsid w:val="00C04697"/>
    <w:rsid w:val="00C04DEB"/>
    <w:rsid w:val="00C04F86"/>
    <w:rsid w:val="00C0510B"/>
    <w:rsid w:val="00C058AE"/>
    <w:rsid w:val="00C05C13"/>
    <w:rsid w:val="00C05D34"/>
    <w:rsid w:val="00C06BB3"/>
    <w:rsid w:val="00C07642"/>
    <w:rsid w:val="00C07A9C"/>
    <w:rsid w:val="00C07D89"/>
    <w:rsid w:val="00C1007C"/>
    <w:rsid w:val="00C107A8"/>
    <w:rsid w:val="00C10B66"/>
    <w:rsid w:val="00C110EE"/>
    <w:rsid w:val="00C111D8"/>
    <w:rsid w:val="00C11565"/>
    <w:rsid w:val="00C11C74"/>
    <w:rsid w:val="00C11EB6"/>
    <w:rsid w:val="00C1209B"/>
    <w:rsid w:val="00C12477"/>
    <w:rsid w:val="00C1259D"/>
    <w:rsid w:val="00C12C67"/>
    <w:rsid w:val="00C13332"/>
    <w:rsid w:val="00C13AB6"/>
    <w:rsid w:val="00C13E80"/>
    <w:rsid w:val="00C1413A"/>
    <w:rsid w:val="00C14204"/>
    <w:rsid w:val="00C151E7"/>
    <w:rsid w:val="00C152E4"/>
    <w:rsid w:val="00C15BF0"/>
    <w:rsid w:val="00C16068"/>
    <w:rsid w:val="00C1615A"/>
    <w:rsid w:val="00C171E5"/>
    <w:rsid w:val="00C20162"/>
    <w:rsid w:val="00C20206"/>
    <w:rsid w:val="00C20263"/>
    <w:rsid w:val="00C20443"/>
    <w:rsid w:val="00C20454"/>
    <w:rsid w:val="00C215F5"/>
    <w:rsid w:val="00C21A57"/>
    <w:rsid w:val="00C21C44"/>
    <w:rsid w:val="00C21C7E"/>
    <w:rsid w:val="00C22350"/>
    <w:rsid w:val="00C23238"/>
    <w:rsid w:val="00C234F7"/>
    <w:rsid w:val="00C24276"/>
    <w:rsid w:val="00C242D0"/>
    <w:rsid w:val="00C24489"/>
    <w:rsid w:val="00C245FA"/>
    <w:rsid w:val="00C24999"/>
    <w:rsid w:val="00C24D83"/>
    <w:rsid w:val="00C251CF"/>
    <w:rsid w:val="00C259AD"/>
    <w:rsid w:val="00C267D8"/>
    <w:rsid w:val="00C26CFF"/>
    <w:rsid w:val="00C26FB9"/>
    <w:rsid w:val="00C27461"/>
    <w:rsid w:val="00C275EB"/>
    <w:rsid w:val="00C27D67"/>
    <w:rsid w:val="00C30103"/>
    <w:rsid w:val="00C30226"/>
    <w:rsid w:val="00C30C0B"/>
    <w:rsid w:val="00C30E42"/>
    <w:rsid w:val="00C31408"/>
    <w:rsid w:val="00C322CB"/>
    <w:rsid w:val="00C3249A"/>
    <w:rsid w:val="00C327F9"/>
    <w:rsid w:val="00C329D1"/>
    <w:rsid w:val="00C32DE2"/>
    <w:rsid w:val="00C33313"/>
    <w:rsid w:val="00C33D98"/>
    <w:rsid w:val="00C33DE4"/>
    <w:rsid w:val="00C341D0"/>
    <w:rsid w:val="00C3445F"/>
    <w:rsid w:val="00C3466D"/>
    <w:rsid w:val="00C34907"/>
    <w:rsid w:val="00C34B1A"/>
    <w:rsid w:val="00C34C90"/>
    <w:rsid w:val="00C352B1"/>
    <w:rsid w:val="00C3535F"/>
    <w:rsid w:val="00C35560"/>
    <w:rsid w:val="00C35637"/>
    <w:rsid w:val="00C35942"/>
    <w:rsid w:val="00C36818"/>
    <w:rsid w:val="00C36AC6"/>
    <w:rsid w:val="00C374AF"/>
    <w:rsid w:val="00C37C07"/>
    <w:rsid w:val="00C37CA8"/>
    <w:rsid w:val="00C37D97"/>
    <w:rsid w:val="00C40002"/>
    <w:rsid w:val="00C40370"/>
    <w:rsid w:val="00C40500"/>
    <w:rsid w:val="00C40560"/>
    <w:rsid w:val="00C406C6"/>
    <w:rsid w:val="00C40C70"/>
    <w:rsid w:val="00C4123E"/>
    <w:rsid w:val="00C41592"/>
    <w:rsid w:val="00C41793"/>
    <w:rsid w:val="00C4188D"/>
    <w:rsid w:val="00C4297C"/>
    <w:rsid w:val="00C43545"/>
    <w:rsid w:val="00C437FD"/>
    <w:rsid w:val="00C43D94"/>
    <w:rsid w:val="00C43E4A"/>
    <w:rsid w:val="00C44188"/>
    <w:rsid w:val="00C442AC"/>
    <w:rsid w:val="00C4430F"/>
    <w:rsid w:val="00C44390"/>
    <w:rsid w:val="00C44A27"/>
    <w:rsid w:val="00C44BC5"/>
    <w:rsid w:val="00C4587F"/>
    <w:rsid w:val="00C45CFA"/>
    <w:rsid w:val="00C466E8"/>
    <w:rsid w:val="00C46DFA"/>
    <w:rsid w:val="00C47081"/>
    <w:rsid w:val="00C47EB5"/>
    <w:rsid w:val="00C502BB"/>
    <w:rsid w:val="00C5038D"/>
    <w:rsid w:val="00C506C9"/>
    <w:rsid w:val="00C5071F"/>
    <w:rsid w:val="00C50747"/>
    <w:rsid w:val="00C50D14"/>
    <w:rsid w:val="00C51234"/>
    <w:rsid w:val="00C515A7"/>
    <w:rsid w:val="00C517EA"/>
    <w:rsid w:val="00C51EE7"/>
    <w:rsid w:val="00C52016"/>
    <w:rsid w:val="00C52181"/>
    <w:rsid w:val="00C530AD"/>
    <w:rsid w:val="00C53118"/>
    <w:rsid w:val="00C537F0"/>
    <w:rsid w:val="00C554CE"/>
    <w:rsid w:val="00C55AD0"/>
    <w:rsid w:val="00C55EC3"/>
    <w:rsid w:val="00C560D5"/>
    <w:rsid w:val="00C562BC"/>
    <w:rsid w:val="00C56485"/>
    <w:rsid w:val="00C56828"/>
    <w:rsid w:val="00C56FE7"/>
    <w:rsid w:val="00C5739A"/>
    <w:rsid w:val="00C57854"/>
    <w:rsid w:val="00C57E3A"/>
    <w:rsid w:val="00C6029A"/>
    <w:rsid w:val="00C60368"/>
    <w:rsid w:val="00C604DD"/>
    <w:rsid w:val="00C6068E"/>
    <w:rsid w:val="00C60FC9"/>
    <w:rsid w:val="00C6141A"/>
    <w:rsid w:val="00C615AE"/>
    <w:rsid w:val="00C619B5"/>
    <w:rsid w:val="00C619DA"/>
    <w:rsid w:val="00C62222"/>
    <w:rsid w:val="00C622EA"/>
    <w:rsid w:val="00C624B2"/>
    <w:rsid w:val="00C62846"/>
    <w:rsid w:val="00C62CA6"/>
    <w:rsid w:val="00C62E62"/>
    <w:rsid w:val="00C63963"/>
    <w:rsid w:val="00C63F0A"/>
    <w:rsid w:val="00C64450"/>
    <w:rsid w:val="00C6488F"/>
    <w:rsid w:val="00C656B4"/>
    <w:rsid w:val="00C65C56"/>
    <w:rsid w:val="00C66092"/>
    <w:rsid w:val="00C66C9D"/>
    <w:rsid w:val="00C66F60"/>
    <w:rsid w:val="00C66F8A"/>
    <w:rsid w:val="00C66F97"/>
    <w:rsid w:val="00C6777B"/>
    <w:rsid w:val="00C6795D"/>
    <w:rsid w:val="00C7002D"/>
    <w:rsid w:val="00C70495"/>
    <w:rsid w:val="00C70646"/>
    <w:rsid w:val="00C70AAC"/>
    <w:rsid w:val="00C70F5F"/>
    <w:rsid w:val="00C712DA"/>
    <w:rsid w:val="00C7160C"/>
    <w:rsid w:val="00C71903"/>
    <w:rsid w:val="00C719F9"/>
    <w:rsid w:val="00C7337F"/>
    <w:rsid w:val="00C73513"/>
    <w:rsid w:val="00C7397A"/>
    <w:rsid w:val="00C73CE4"/>
    <w:rsid w:val="00C749F4"/>
    <w:rsid w:val="00C74B70"/>
    <w:rsid w:val="00C7555D"/>
    <w:rsid w:val="00C755E1"/>
    <w:rsid w:val="00C75683"/>
    <w:rsid w:val="00C761EF"/>
    <w:rsid w:val="00C7648E"/>
    <w:rsid w:val="00C76563"/>
    <w:rsid w:val="00C7658C"/>
    <w:rsid w:val="00C7691D"/>
    <w:rsid w:val="00C76CA0"/>
    <w:rsid w:val="00C76F8D"/>
    <w:rsid w:val="00C772A8"/>
    <w:rsid w:val="00C7784D"/>
    <w:rsid w:val="00C80089"/>
    <w:rsid w:val="00C800D5"/>
    <w:rsid w:val="00C804C1"/>
    <w:rsid w:val="00C806CC"/>
    <w:rsid w:val="00C80D96"/>
    <w:rsid w:val="00C810FA"/>
    <w:rsid w:val="00C811BB"/>
    <w:rsid w:val="00C81383"/>
    <w:rsid w:val="00C815B2"/>
    <w:rsid w:val="00C8185F"/>
    <w:rsid w:val="00C81A86"/>
    <w:rsid w:val="00C81ECD"/>
    <w:rsid w:val="00C8292B"/>
    <w:rsid w:val="00C829DD"/>
    <w:rsid w:val="00C82BF6"/>
    <w:rsid w:val="00C82CAB"/>
    <w:rsid w:val="00C83D2F"/>
    <w:rsid w:val="00C83DB1"/>
    <w:rsid w:val="00C83EAC"/>
    <w:rsid w:val="00C84176"/>
    <w:rsid w:val="00C8451A"/>
    <w:rsid w:val="00C8478B"/>
    <w:rsid w:val="00C84D02"/>
    <w:rsid w:val="00C85234"/>
    <w:rsid w:val="00C85476"/>
    <w:rsid w:val="00C85C15"/>
    <w:rsid w:val="00C86135"/>
    <w:rsid w:val="00C8688F"/>
    <w:rsid w:val="00C86A75"/>
    <w:rsid w:val="00C86E6E"/>
    <w:rsid w:val="00C87729"/>
    <w:rsid w:val="00C87A7B"/>
    <w:rsid w:val="00C87A81"/>
    <w:rsid w:val="00C87B74"/>
    <w:rsid w:val="00C90C1A"/>
    <w:rsid w:val="00C90FF4"/>
    <w:rsid w:val="00C9110D"/>
    <w:rsid w:val="00C91306"/>
    <w:rsid w:val="00C91915"/>
    <w:rsid w:val="00C921EF"/>
    <w:rsid w:val="00C925FB"/>
    <w:rsid w:val="00C92C6F"/>
    <w:rsid w:val="00C931D9"/>
    <w:rsid w:val="00C93577"/>
    <w:rsid w:val="00C93C12"/>
    <w:rsid w:val="00C943F0"/>
    <w:rsid w:val="00C94E64"/>
    <w:rsid w:val="00C94F2B"/>
    <w:rsid w:val="00C94F92"/>
    <w:rsid w:val="00C950BC"/>
    <w:rsid w:val="00C951B2"/>
    <w:rsid w:val="00C9554B"/>
    <w:rsid w:val="00C96476"/>
    <w:rsid w:val="00C96606"/>
    <w:rsid w:val="00C9664A"/>
    <w:rsid w:val="00C9673C"/>
    <w:rsid w:val="00C9683B"/>
    <w:rsid w:val="00C96BD6"/>
    <w:rsid w:val="00C96C00"/>
    <w:rsid w:val="00C97981"/>
    <w:rsid w:val="00C979C5"/>
    <w:rsid w:val="00C97E56"/>
    <w:rsid w:val="00CA0273"/>
    <w:rsid w:val="00CA0B28"/>
    <w:rsid w:val="00CA0BD2"/>
    <w:rsid w:val="00CA0D69"/>
    <w:rsid w:val="00CA11FB"/>
    <w:rsid w:val="00CA1D77"/>
    <w:rsid w:val="00CA1DA9"/>
    <w:rsid w:val="00CA24D2"/>
    <w:rsid w:val="00CA3249"/>
    <w:rsid w:val="00CA3379"/>
    <w:rsid w:val="00CA3DAE"/>
    <w:rsid w:val="00CA4065"/>
    <w:rsid w:val="00CA5ADD"/>
    <w:rsid w:val="00CA5C5E"/>
    <w:rsid w:val="00CA624C"/>
    <w:rsid w:val="00CA647B"/>
    <w:rsid w:val="00CA6912"/>
    <w:rsid w:val="00CA6ACE"/>
    <w:rsid w:val="00CA6E4C"/>
    <w:rsid w:val="00CA6F40"/>
    <w:rsid w:val="00CA76FF"/>
    <w:rsid w:val="00CB0229"/>
    <w:rsid w:val="00CB09A6"/>
    <w:rsid w:val="00CB2E16"/>
    <w:rsid w:val="00CB335A"/>
    <w:rsid w:val="00CB383C"/>
    <w:rsid w:val="00CB39CA"/>
    <w:rsid w:val="00CB3B02"/>
    <w:rsid w:val="00CB3D23"/>
    <w:rsid w:val="00CB4202"/>
    <w:rsid w:val="00CB42A3"/>
    <w:rsid w:val="00CB46DA"/>
    <w:rsid w:val="00CB4E72"/>
    <w:rsid w:val="00CB4FA0"/>
    <w:rsid w:val="00CB5945"/>
    <w:rsid w:val="00CB5C73"/>
    <w:rsid w:val="00CB60F4"/>
    <w:rsid w:val="00CB6476"/>
    <w:rsid w:val="00CB693C"/>
    <w:rsid w:val="00CB6B63"/>
    <w:rsid w:val="00CB6F32"/>
    <w:rsid w:val="00CB7AA9"/>
    <w:rsid w:val="00CB7EFE"/>
    <w:rsid w:val="00CC0169"/>
    <w:rsid w:val="00CC064B"/>
    <w:rsid w:val="00CC1776"/>
    <w:rsid w:val="00CC1EAF"/>
    <w:rsid w:val="00CC2815"/>
    <w:rsid w:val="00CC297E"/>
    <w:rsid w:val="00CC297F"/>
    <w:rsid w:val="00CC2B6B"/>
    <w:rsid w:val="00CC2F0F"/>
    <w:rsid w:val="00CC338A"/>
    <w:rsid w:val="00CC37AD"/>
    <w:rsid w:val="00CC37BA"/>
    <w:rsid w:val="00CC39AF"/>
    <w:rsid w:val="00CC3AE5"/>
    <w:rsid w:val="00CC4087"/>
    <w:rsid w:val="00CC408A"/>
    <w:rsid w:val="00CC485F"/>
    <w:rsid w:val="00CC5843"/>
    <w:rsid w:val="00CC675F"/>
    <w:rsid w:val="00CC6A95"/>
    <w:rsid w:val="00CC6F75"/>
    <w:rsid w:val="00CC7F25"/>
    <w:rsid w:val="00CD02D7"/>
    <w:rsid w:val="00CD0612"/>
    <w:rsid w:val="00CD07FE"/>
    <w:rsid w:val="00CD0848"/>
    <w:rsid w:val="00CD0BF6"/>
    <w:rsid w:val="00CD1387"/>
    <w:rsid w:val="00CD15DC"/>
    <w:rsid w:val="00CD1EA3"/>
    <w:rsid w:val="00CD203A"/>
    <w:rsid w:val="00CD21A7"/>
    <w:rsid w:val="00CD21F2"/>
    <w:rsid w:val="00CD24A8"/>
    <w:rsid w:val="00CD294A"/>
    <w:rsid w:val="00CD2B10"/>
    <w:rsid w:val="00CD3371"/>
    <w:rsid w:val="00CD33AE"/>
    <w:rsid w:val="00CD382A"/>
    <w:rsid w:val="00CD39CB"/>
    <w:rsid w:val="00CD3A77"/>
    <w:rsid w:val="00CD4099"/>
    <w:rsid w:val="00CD4264"/>
    <w:rsid w:val="00CD43E0"/>
    <w:rsid w:val="00CD4621"/>
    <w:rsid w:val="00CD4F39"/>
    <w:rsid w:val="00CD52B0"/>
    <w:rsid w:val="00CD575F"/>
    <w:rsid w:val="00CD5BC8"/>
    <w:rsid w:val="00CD6229"/>
    <w:rsid w:val="00CD639C"/>
    <w:rsid w:val="00CD65C8"/>
    <w:rsid w:val="00CD6B90"/>
    <w:rsid w:val="00CD6D40"/>
    <w:rsid w:val="00CD710F"/>
    <w:rsid w:val="00CD7148"/>
    <w:rsid w:val="00CD7828"/>
    <w:rsid w:val="00CD7ADC"/>
    <w:rsid w:val="00CD7CA6"/>
    <w:rsid w:val="00CE0A92"/>
    <w:rsid w:val="00CE0FAD"/>
    <w:rsid w:val="00CE0FCD"/>
    <w:rsid w:val="00CE1126"/>
    <w:rsid w:val="00CE1A42"/>
    <w:rsid w:val="00CE205E"/>
    <w:rsid w:val="00CE21D4"/>
    <w:rsid w:val="00CE21E3"/>
    <w:rsid w:val="00CE2E14"/>
    <w:rsid w:val="00CE35EA"/>
    <w:rsid w:val="00CE36E6"/>
    <w:rsid w:val="00CE37EB"/>
    <w:rsid w:val="00CE3B59"/>
    <w:rsid w:val="00CE3B93"/>
    <w:rsid w:val="00CE3E70"/>
    <w:rsid w:val="00CE3F56"/>
    <w:rsid w:val="00CE46AF"/>
    <w:rsid w:val="00CE472D"/>
    <w:rsid w:val="00CE48CF"/>
    <w:rsid w:val="00CE493D"/>
    <w:rsid w:val="00CE4D0D"/>
    <w:rsid w:val="00CE5584"/>
    <w:rsid w:val="00CE59E3"/>
    <w:rsid w:val="00CE5F31"/>
    <w:rsid w:val="00CE6159"/>
    <w:rsid w:val="00CE669C"/>
    <w:rsid w:val="00CE6942"/>
    <w:rsid w:val="00CE6DFA"/>
    <w:rsid w:val="00CE6E80"/>
    <w:rsid w:val="00CE73C7"/>
    <w:rsid w:val="00CE7EA2"/>
    <w:rsid w:val="00CF049F"/>
    <w:rsid w:val="00CF069A"/>
    <w:rsid w:val="00CF08A2"/>
    <w:rsid w:val="00CF16B6"/>
    <w:rsid w:val="00CF1A77"/>
    <w:rsid w:val="00CF23DF"/>
    <w:rsid w:val="00CF2D5E"/>
    <w:rsid w:val="00CF3201"/>
    <w:rsid w:val="00CF3C78"/>
    <w:rsid w:val="00CF4249"/>
    <w:rsid w:val="00CF48A3"/>
    <w:rsid w:val="00CF49A8"/>
    <w:rsid w:val="00CF4CA9"/>
    <w:rsid w:val="00CF6257"/>
    <w:rsid w:val="00CF6567"/>
    <w:rsid w:val="00CF6B41"/>
    <w:rsid w:val="00CF72A0"/>
    <w:rsid w:val="00CF788F"/>
    <w:rsid w:val="00CF7E44"/>
    <w:rsid w:val="00D02182"/>
    <w:rsid w:val="00D02439"/>
    <w:rsid w:val="00D024B0"/>
    <w:rsid w:val="00D02927"/>
    <w:rsid w:val="00D02976"/>
    <w:rsid w:val="00D02C85"/>
    <w:rsid w:val="00D02D78"/>
    <w:rsid w:val="00D04553"/>
    <w:rsid w:val="00D049FB"/>
    <w:rsid w:val="00D04D4D"/>
    <w:rsid w:val="00D053DE"/>
    <w:rsid w:val="00D056BB"/>
    <w:rsid w:val="00D05D02"/>
    <w:rsid w:val="00D05E9C"/>
    <w:rsid w:val="00D05F47"/>
    <w:rsid w:val="00D0603B"/>
    <w:rsid w:val="00D06058"/>
    <w:rsid w:val="00D066F7"/>
    <w:rsid w:val="00D06787"/>
    <w:rsid w:val="00D068C1"/>
    <w:rsid w:val="00D06C1D"/>
    <w:rsid w:val="00D06E1C"/>
    <w:rsid w:val="00D07084"/>
    <w:rsid w:val="00D0722A"/>
    <w:rsid w:val="00D07335"/>
    <w:rsid w:val="00D0792C"/>
    <w:rsid w:val="00D07D74"/>
    <w:rsid w:val="00D07EBA"/>
    <w:rsid w:val="00D10414"/>
    <w:rsid w:val="00D10CA9"/>
    <w:rsid w:val="00D10FF0"/>
    <w:rsid w:val="00D1137A"/>
    <w:rsid w:val="00D113A4"/>
    <w:rsid w:val="00D11940"/>
    <w:rsid w:val="00D11946"/>
    <w:rsid w:val="00D11BE9"/>
    <w:rsid w:val="00D12BD4"/>
    <w:rsid w:val="00D1335A"/>
    <w:rsid w:val="00D13446"/>
    <w:rsid w:val="00D13684"/>
    <w:rsid w:val="00D13E2E"/>
    <w:rsid w:val="00D14791"/>
    <w:rsid w:val="00D1495D"/>
    <w:rsid w:val="00D14E14"/>
    <w:rsid w:val="00D15854"/>
    <w:rsid w:val="00D15984"/>
    <w:rsid w:val="00D1598C"/>
    <w:rsid w:val="00D15BEF"/>
    <w:rsid w:val="00D164F9"/>
    <w:rsid w:val="00D1675D"/>
    <w:rsid w:val="00D16B9D"/>
    <w:rsid w:val="00D17F04"/>
    <w:rsid w:val="00D205DB"/>
    <w:rsid w:val="00D2075F"/>
    <w:rsid w:val="00D20A05"/>
    <w:rsid w:val="00D20A85"/>
    <w:rsid w:val="00D20AE0"/>
    <w:rsid w:val="00D21290"/>
    <w:rsid w:val="00D21632"/>
    <w:rsid w:val="00D21F2E"/>
    <w:rsid w:val="00D21F45"/>
    <w:rsid w:val="00D22936"/>
    <w:rsid w:val="00D22DB7"/>
    <w:rsid w:val="00D22F02"/>
    <w:rsid w:val="00D239B8"/>
    <w:rsid w:val="00D24053"/>
    <w:rsid w:val="00D244BE"/>
    <w:rsid w:val="00D2452F"/>
    <w:rsid w:val="00D24EDD"/>
    <w:rsid w:val="00D25036"/>
    <w:rsid w:val="00D25C35"/>
    <w:rsid w:val="00D25D63"/>
    <w:rsid w:val="00D25F53"/>
    <w:rsid w:val="00D271A8"/>
    <w:rsid w:val="00D276CE"/>
    <w:rsid w:val="00D277CD"/>
    <w:rsid w:val="00D27A76"/>
    <w:rsid w:val="00D30702"/>
    <w:rsid w:val="00D30752"/>
    <w:rsid w:val="00D314D0"/>
    <w:rsid w:val="00D31730"/>
    <w:rsid w:val="00D3197E"/>
    <w:rsid w:val="00D31982"/>
    <w:rsid w:val="00D31B0A"/>
    <w:rsid w:val="00D31C07"/>
    <w:rsid w:val="00D32D8E"/>
    <w:rsid w:val="00D331C7"/>
    <w:rsid w:val="00D340EC"/>
    <w:rsid w:val="00D341FA"/>
    <w:rsid w:val="00D3450D"/>
    <w:rsid w:val="00D3466A"/>
    <w:rsid w:val="00D34988"/>
    <w:rsid w:val="00D36910"/>
    <w:rsid w:val="00D36D05"/>
    <w:rsid w:val="00D37870"/>
    <w:rsid w:val="00D3795D"/>
    <w:rsid w:val="00D37EBF"/>
    <w:rsid w:val="00D37F01"/>
    <w:rsid w:val="00D411E0"/>
    <w:rsid w:val="00D42580"/>
    <w:rsid w:val="00D42B38"/>
    <w:rsid w:val="00D42F65"/>
    <w:rsid w:val="00D43A36"/>
    <w:rsid w:val="00D43B91"/>
    <w:rsid w:val="00D441F6"/>
    <w:rsid w:val="00D443B0"/>
    <w:rsid w:val="00D4451A"/>
    <w:rsid w:val="00D450E3"/>
    <w:rsid w:val="00D45C03"/>
    <w:rsid w:val="00D46119"/>
    <w:rsid w:val="00D464AA"/>
    <w:rsid w:val="00D46A04"/>
    <w:rsid w:val="00D46D04"/>
    <w:rsid w:val="00D47259"/>
    <w:rsid w:val="00D474B5"/>
    <w:rsid w:val="00D47CD6"/>
    <w:rsid w:val="00D47E41"/>
    <w:rsid w:val="00D47E7E"/>
    <w:rsid w:val="00D47F0F"/>
    <w:rsid w:val="00D5041A"/>
    <w:rsid w:val="00D5066C"/>
    <w:rsid w:val="00D50ECA"/>
    <w:rsid w:val="00D5162F"/>
    <w:rsid w:val="00D51874"/>
    <w:rsid w:val="00D51DCE"/>
    <w:rsid w:val="00D51FB0"/>
    <w:rsid w:val="00D52004"/>
    <w:rsid w:val="00D521A1"/>
    <w:rsid w:val="00D525F1"/>
    <w:rsid w:val="00D52774"/>
    <w:rsid w:val="00D52954"/>
    <w:rsid w:val="00D52BB2"/>
    <w:rsid w:val="00D53154"/>
    <w:rsid w:val="00D53203"/>
    <w:rsid w:val="00D53774"/>
    <w:rsid w:val="00D53A52"/>
    <w:rsid w:val="00D53B00"/>
    <w:rsid w:val="00D540CD"/>
    <w:rsid w:val="00D550ED"/>
    <w:rsid w:val="00D5538F"/>
    <w:rsid w:val="00D5547F"/>
    <w:rsid w:val="00D5556A"/>
    <w:rsid w:val="00D55F09"/>
    <w:rsid w:val="00D56053"/>
    <w:rsid w:val="00D56EAF"/>
    <w:rsid w:val="00D57653"/>
    <w:rsid w:val="00D5771E"/>
    <w:rsid w:val="00D57EB2"/>
    <w:rsid w:val="00D600A3"/>
    <w:rsid w:val="00D6024E"/>
    <w:rsid w:val="00D60998"/>
    <w:rsid w:val="00D618D4"/>
    <w:rsid w:val="00D62437"/>
    <w:rsid w:val="00D62E47"/>
    <w:rsid w:val="00D630AF"/>
    <w:rsid w:val="00D63C8F"/>
    <w:rsid w:val="00D63E4D"/>
    <w:rsid w:val="00D64361"/>
    <w:rsid w:val="00D64772"/>
    <w:rsid w:val="00D64C6D"/>
    <w:rsid w:val="00D6503D"/>
    <w:rsid w:val="00D6685F"/>
    <w:rsid w:val="00D66AF1"/>
    <w:rsid w:val="00D67B6B"/>
    <w:rsid w:val="00D67E31"/>
    <w:rsid w:val="00D67F21"/>
    <w:rsid w:val="00D702EB"/>
    <w:rsid w:val="00D708CF"/>
    <w:rsid w:val="00D70AF1"/>
    <w:rsid w:val="00D712EE"/>
    <w:rsid w:val="00D7184E"/>
    <w:rsid w:val="00D733DF"/>
    <w:rsid w:val="00D73ACB"/>
    <w:rsid w:val="00D73D66"/>
    <w:rsid w:val="00D73F6D"/>
    <w:rsid w:val="00D74A0F"/>
    <w:rsid w:val="00D74C24"/>
    <w:rsid w:val="00D74D8C"/>
    <w:rsid w:val="00D75042"/>
    <w:rsid w:val="00D75664"/>
    <w:rsid w:val="00D7589E"/>
    <w:rsid w:val="00D75BDF"/>
    <w:rsid w:val="00D76931"/>
    <w:rsid w:val="00D76BAF"/>
    <w:rsid w:val="00D76F04"/>
    <w:rsid w:val="00D77D66"/>
    <w:rsid w:val="00D80D8D"/>
    <w:rsid w:val="00D8127D"/>
    <w:rsid w:val="00D81E72"/>
    <w:rsid w:val="00D82125"/>
    <w:rsid w:val="00D821F4"/>
    <w:rsid w:val="00D82ED5"/>
    <w:rsid w:val="00D830FA"/>
    <w:rsid w:val="00D831FD"/>
    <w:rsid w:val="00D83918"/>
    <w:rsid w:val="00D83CFC"/>
    <w:rsid w:val="00D83F5A"/>
    <w:rsid w:val="00D841E3"/>
    <w:rsid w:val="00D845FB"/>
    <w:rsid w:val="00D84B7D"/>
    <w:rsid w:val="00D84C11"/>
    <w:rsid w:val="00D85B4F"/>
    <w:rsid w:val="00D85F7F"/>
    <w:rsid w:val="00D864BF"/>
    <w:rsid w:val="00D866C2"/>
    <w:rsid w:val="00D86A7C"/>
    <w:rsid w:val="00D86B5B"/>
    <w:rsid w:val="00D8739E"/>
    <w:rsid w:val="00D87406"/>
    <w:rsid w:val="00D87E9A"/>
    <w:rsid w:val="00D90024"/>
    <w:rsid w:val="00D90291"/>
    <w:rsid w:val="00D905B6"/>
    <w:rsid w:val="00D90644"/>
    <w:rsid w:val="00D90891"/>
    <w:rsid w:val="00D90AF1"/>
    <w:rsid w:val="00D90E0B"/>
    <w:rsid w:val="00D90FD6"/>
    <w:rsid w:val="00D913EF"/>
    <w:rsid w:val="00D9151F"/>
    <w:rsid w:val="00D91B78"/>
    <w:rsid w:val="00D91B86"/>
    <w:rsid w:val="00D91ED4"/>
    <w:rsid w:val="00D91F42"/>
    <w:rsid w:val="00D9264E"/>
    <w:rsid w:val="00D92694"/>
    <w:rsid w:val="00D926CF"/>
    <w:rsid w:val="00D92CF5"/>
    <w:rsid w:val="00D92D05"/>
    <w:rsid w:val="00D9366A"/>
    <w:rsid w:val="00D93A75"/>
    <w:rsid w:val="00D945F7"/>
    <w:rsid w:val="00D94628"/>
    <w:rsid w:val="00D94AA7"/>
    <w:rsid w:val="00D954A2"/>
    <w:rsid w:val="00D95829"/>
    <w:rsid w:val="00D95862"/>
    <w:rsid w:val="00D96BD5"/>
    <w:rsid w:val="00D96DA3"/>
    <w:rsid w:val="00D96E36"/>
    <w:rsid w:val="00D9742B"/>
    <w:rsid w:val="00D977F1"/>
    <w:rsid w:val="00D97A23"/>
    <w:rsid w:val="00D97FE3"/>
    <w:rsid w:val="00DA022E"/>
    <w:rsid w:val="00DA049D"/>
    <w:rsid w:val="00DA05EE"/>
    <w:rsid w:val="00DA08AA"/>
    <w:rsid w:val="00DA1237"/>
    <w:rsid w:val="00DA190D"/>
    <w:rsid w:val="00DA2AD0"/>
    <w:rsid w:val="00DA2C48"/>
    <w:rsid w:val="00DA2D5A"/>
    <w:rsid w:val="00DA323E"/>
    <w:rsid w:val="00DA351F"/>
    <w:rsid w:val="00DA3BA7"/>
    <w:rsid w:val="00DA3DA1"/>
    <w:rsid w:val="00DA4477"/>
    <w:rsid w:val="00DA45C6"/>
    <w:rsid w:val="00DA4989"/>
    <w:rsid w:val="00DA4CFE"/>
    <w:rsid w:val="00DA4D85"/>
    <w:rsid w:val="00DA5FE6"/>
    <w:rsid w:val="00DA71FF"/>
    <w:rsid w:val="00DA75C3"/>
    <w:rsid w:val="00DB0657"/>
    <w:rsid w:val="00DB0A1D"/>
    <w:rsid w:val="00DB133E"/>
    <w:rsid w:val="00DB1726"/>
    <w:rsid w:val="00DB1EF1"/>
    <w:rsid w:val="00DB225A"/>
    <w:rsid w:val="00DB23F7"/>
    <w:rsid w:val="00DB311C"/>
    <w:rsid w:val="00DB3454"/>
    <w:rsid w:val="00DB38B9"/>
    <w:rsid w:val="00DB3EC8"/>
    <w:rsid w:val="00DB4E3E"/>
    <w:rsid w:val="00DB4E67"/>
    <w:rsid w:val="00DB4FAD"/>
    <w:rsid w:val="00DB549B"/>
    <w:rsid w:val="00DB56B7"/>
    <w:rsid w:val="00DB5706"/>
    <w:rsid w:val="00DB5711"/>
    <w:rsid w:val="00DB5A6F"/>
    <w:rsid w:val="00DB7CAA"/>
    <w:rsid w:val="00DB7FDB"/>
    <w:rsid w:val="00DC083A"/>
    <w:rsid w:val="00DC0886"/>
    <w:rsid w:val="00DC0A2D"/>
    <w:rsid w:val="00DC1405"/>
    <w:rsid w:val="00DC1921"/>
    <w:rsid w:val="00DC22AB"/>
    <w:rsid w:val="00DC22BF"/>
    <w:rsid w:val="00DC257D"/>
    <w:rsid w:val="00DC2B0F"/>
    <w:rsid w:val="00DC2DAE"/>
    <w:rsid w:val="00DC3721"/>
    <w:rsid w:val="00DC4139"/>
    <w:rsid w:val="00DC420B"/>
    <w:rsid w:val="00DC46C5"/>
    <w:rsid w:val="00DC49B1"/>
    <w:rsid w:val="00DC527B"/>
    <w:rsid w:val="00DC557A"/>
    <w:rsid w:val="00DC5656"/>
    <w:rsid w:val="00DC5AF7"/>
    <w:rsid w:val="00DC5C28"/>
    <w:rsid w:val="00DC5E07"/>
    <w:rsid w:val="00DC5FD1"/>
    <w:rsid w:val="00DC6848"/>
    <w:rsid w:val="00DC6A82"/>
    <w:rsid w:val="00DC6D9E"/>
    <w:rsid w:val="00DC7F77"/>
    <w:rsid w:val="00DD007F"/>
    <w:rsid w:val="00DD011B"/>
    <w:rsid w:val="00DD04DB"/>
    <w:rsid w:val="00DD08F4"/>
    <w:rsid w:val="00DD0B7A"/>
    <w:rsid w:val="00DD15A2"/>
    <w:rsid w:val="00DD256D"/>
    <w:rsid w:val="00DD2868"/>
    <w:rsid w:val="00DD2C6F"/>
    <w:rsid w:val="00DD2DA2"/>
    <w:rsid w:val="00DD3352"/>
    <w:rsid w:val="00DD3696"/>
    <w:rsid w:val="00DD3D3D"/>
    <w:rsid w:val="00DD4195"/>
    <w:rsid w:val="00DD428D"/>
    <w:rsid w:val="00DD4559"/>
    <w:rsid w:val="00DD4937"/>
    <w:rsid w:val="00DD497C"/>
    <w:rsid w:val="00DD59A1"/>
    <w:rsid w:val="00DD693C"/>
    <w:rsid w:val="00DD6B8B"/>
    <w:rsid w:val="00DD71EF"/>
    <w:rsid w:val="00DD732C"/>
    <w:rsid w:val="00DD7B5E"/>
    <w:rsid w:val="00DD7E35"/>
    <w:rsid w:val="00DE1227"/>
    <w:rsid w:val="00DE13D4"/>
    <w:rsid w:val="00DE1EB2"/>
    <w:rsid w:val="00DE2871"/>
    <w:rsid w:val="00DE308F"/>
    <w:rsid w:val="00DE320D"/>
    <w:rsid w:val="00DE3A35"/>
    <w:rsid w:val="00DE3AFE"/>
    <w:rsid w:val="00DE401C"/>
    <w:rsid w:val="00DE415D"/>
    <w:rsid w:val="00DE42C5"/>
    <w:rsid w:val="00DE4426"/>
    <w:rsid w:val="00DE4E4E"/>
    <w:rsid w:val="00DE5453"/>
    <w:rsid w:val="00DE6482"/>
    <w:rsid w:val="00DE6793"/>
    <w:rsid w:val="00DE67C6"/>
    <w:rsid w:val="00DE70F0"/>
    <w:rsid w:val="00DE71C6"/>
    <w:rsid w:val="00DE71F2"/>
    <w:rsid w:val="00DE773D"/>
    <w:rsid w:val="00DE7B7D"/>
    <w:rsid w:val="00DF05C8"/>
    <w:rsid w:val="00DF09E4"/>
    <w:rsid w:val="00DF0C0F"/>
    <w:rsid w:val="00DF0D7C"/>
    <w:rsid w:val="00DF1497"/>
    <w:rsid w:val="00DF1586"/>
    <w:rsid w:val="00DF15C9"/>
    <w:rsid w:val="00DF16B3"/>
    <w:rsid w:val="00DF1B0C"/>
    <w:rsid w:val="00DF1F10"/>
    <w:rsid w:val="00DF2021"/>
    <w:rsid w:val="00DF2A7D"/>
    <w:rsid w:val="00DF2C7B"/>
    <w:rsid w:val="00DF2D64"/>
    <w:rsid w:val="00DF2D65"/>
    <w:rsid w:val="00DF2EEF"/>
    <w:rsid w:val="00DF3510"/>
    <w:rsid w:val="00DF352B"/>
    <w:rsid w:val="00DF4412"/>
    <w:rsid w:val="00DF487D"/>
    <w:rsid w:val="00DF4A32"/>
    <w:rsid w:val="00DF4E11"/>
    <w:rsid w:val="00DF53F2"/>
    <w:rsid w:val="00DF5557"/>
    <w:rsid w:val="00DF5CFF"/>
    <w:rsid w:val="00DF5FC7"/>
    <w:rsid w:val="00DF630B"/>
    <w:rsid w:val="00DF6633"/>
    <w:rsid w:val="00DF6B62"/>
    <w:rsid w:val="00DF743E"/>
    <w:rsid w:val="00DF76A2"/>
    <w:rsid w:val="00DF7C21"/>
    <w:rsid w:val="00DF7D21"/>
    <w:rsid w:val="00E0040F"/>
    <w:rsid w:val="00E004C2"/>
    <w:rsid w:val="00E004CB"/>
    <w:rsid w:val="00E00690"/>
    <w:rsid w:val="00E006D8"/>
    <w:rsid w:val="00E00CB6"/>
    <w:rsid w:val="00E0112C"/>
    <w:rsid w:val="00E012C4"/>
    <w:rsid w:val="00E01551"/>
    <w:rsid w:val="00E01865"/>
    <w:rsid w:val="00E01A2D"/>
    <w:rsid w:val="00E024C5"/>
    <w:rsid w:val="00E02639"/>
    <w:rsid w:val="00E02D4E"/>
    <w:rsid w:val="00E03AFA"/>
    <w:rsid w:val="00E05774"/>
    <w:rsid w:val="00E05D47"/>
    <w:rsid w:val="00E05D6C"/>
    <w:rsid w:val="00E06548"/>
    <w:rsid w:val="00E06A61"/>
    <w:rsid w:val="00E06AC4"/>
    <w:rsid w:val="00E06E0F"/>
    <w:rsid w:val="00E07718"/>
    <w:rsid w:val="00E108A0"/>
    <w:rsid w:val="00E10A9C"/>
    <w:rsid w:val="00E11200"/>
    <w:rsid w:val="00E118CC"/>
    <w:rsid w:val="00E11A64"/>
    <w:rsid w:val="00E11E1E"/>
    <w:rsid w:val="00E11E2A"/>
    <w:rsid w:val="00E11E65"/>
    <w:rsid w:val="00E11EC2"/>
    <w:rsid w:val="00E11FE2"/>
    <w:rsid w:val="00E12022"/>
    <w:rsid w:val="00E12037"/>
    <w:rsid w:val="00E12175"/>
    <w:rsid w:val="00E125F4"/>
    <w:rsid w:val="00E128C3"/>
    <w:rsid w:val="00E12967"/>
    <w:rsid w:val="00E13C8C"/>
    <w:rsid w:val="00E13F54"/>
    <w:rsid w:val="00E141C6"/>
    <w:rsid w:val="00E14349"/>
    <w:rsid w:val="00E14699"/>
    <w:rsid w:val="00E14E4B"/>
    <w:rsid w:val="00E1518E"/>
    <w:rsid w:val="00E15935"/>
    <w:rsid w:val="00E177B8"/>
    <w:rsid w:val="00E1799C"/>
    <w:rsid w:val="00E17A61"/>
    <w:rsid w:val="00E17E88"/>
    <w:rsid w:val="00E20029"/>
    <w:rsid w:val="00E2031A"/>
    <w:rsid w:val="00E2032E"/>
    <w:rsid w:val="00E206DF"/>
    <w:rsid w:val="00E20F40"/>
    <w:rsid w:val="00E20F5C"/>
    <w:rsid w:val="00E21C5A"/>
    <w:rsid w:val="00E21E7E"/>
    <w:rsid w:val="00E2289E"/>
    <w:rsid w:val="00E22A81"/>
    <w:rsid w:val="00E235B6"/>
    <w:rsid w:val="00E23738"/>
    <w:rsid w:val="00E242B9"/>
    <w:rsid w:val="00E24862"/>
    <w:rsid w:val="00E24DF3"/>
    <w:rsid w:val="00E25204"/>
    <w:rsid w:val="00E259BD"/>
    <w:rsid w:val="00E25BE1"/>
    <w:rsid w:val="00E25D59"/>
    <w:rsid w:val="00E26667"/>
    <w:rsid w:val="00E26B00"/>
    <w:rsid w:val="00E26B9A"/>
    <w:rsid w:val="00E27285"/>
    <w:rsid w:val="00E27323"/>
    <w:rsid w:val="00E276B0"/>
    <w:rsid w:val="00E277FF"/>
    <w:rsid w:val="00E308AE"/>
    <w:rsid w:val="00E30A25"/>
    <w:rsid w:val="00E312AD"/>
    <w:rsid w:val="00E31A19"/>
    <w:rsid w:val="00E31ADB"/>
    <w:rsid w:val="00E31F23"/>
    <w:rsid w:val="00E3207F"/>
    <w:rsid w:val="00E32535"/>
    <w:rsid w:val="00E3296C"/>
    <w:rsid w:val="00E32AD4"/>
    <w:rsid w:val="00E32FEA"/>
    <w:rsid w:val="00E33AA1"/>
    <w:rsid w:val="00E345BC"/>
    <w:rsid w:val="00E34E63"/>
    <w:rsid w:val="00E35790"/>
    <w:rsid w:val="00E35F72"/>
    <w:rsid w:val="00E36089"/>
    <w:rsid w:val="00E368CC"/>
    <w:rsid w:val="00E36C59"/>
    <w:rsid w:val="00E402BC"/>
    <w:rsid w:val="00E40755"/>
    <w:rsid w:val="00E40F6A"/>
    <w:rsid w:val="00E410F6"/>
    <w:rsid w:val="00E415CD"/>
    <w:rsid w:val="00E416D6"/>
    <w:rsid w:val="00E418D2"/>
    <w:rsid w:val="00E41B9D"/>
    <w:rsid w:val="00E425AB"/>
    <w:rsid w:val="00E430BD"/>
    <w:rsid w:val="00E4324E"/>
    <w:rsid w:val="00E435CE"/>
    <w:rsid w:val="00E43602"/>
    <w:rsid w:val="00E43E93"/>
    <w:rsid w:val="00E4432E"/>
    <w:rsid w:val="00E44673"/>
    <w:rsid w:val="00E446BA"/>
    <w:rsid w:val="00E44BA3"/>
    <w:rsid w:val="00E44C7C"/>
    <w:rsid w:val="00E45065"/>
    <w:rsid w:val="00E4532E"/>
    <w:rsid w:val="00E45B45"/>
    <w:rsid w:val="00E45E13"/>
    <w:rsid w:val="00E460D8"/>
    <w:rsid w:val="00E4622C"/>
    <w:rsid w:val="00E464E2"/>
    <w:rsid w:val="00E466E4"/>
    <w:rsid w:val="00E46825"/>
    <w:rsid w:val="00E46833"/>
    <w:rsid w:val="00E4755F"/>
    <w:rsid w:val="00E478DF"/>
    <w:rsid w:val="00E47AE4"/>
    <w:rsid w:val="00E503DE"/>
    <w:rsid w:val="00E5049D"/>
    <w:rsid w:val="00E50664"/>
    <w:rsid w:val="00E506DB"/>
    <w:rsid w:val="00E50B8B"/>
    <w:rsid w:val="00E51682"/>
    <w:rsid w:val="00E52C85"/>
    <w:rsid w:val="00E532AF"/>
    <w:rsid w:val="00E54A6B"/>
    <w:rsid w:val="00E54C0C"/>
    <w:rsid w:val="00E5511D"/>
    <w:rsid w:val="00E55B2F"/>
    <w:rsid w:val="00E55E82"/>
    <w:rsid w:val="00E55F13"/>
    <w:rsid w:val="00E5602B"/>
    <w:rsid w:val="00E564A6"/>
    <w:rsid w:val="00E564AF"/>
    <w:rsid w:val="00E567E9"/>
    <w:rsid w:val="00E56AB9"/>
    <w:rsid w:val="00E5700E"/>
    <w:rsid w:val="00E57A2A"/>
    <w:rsid w:val="00E57FB7"/>
    <w:rsid w:val="00E602BB"/>
    <w:rsid w:val="00E60A6F"/>
    <w:rsid w:val="00E61015"/>
    <w:rsid w:val="00E6121E"/>
    <w:rsid w:val="00E61472"/>
    <w:rsid w:val="00E61F3C"/>
    <w:rsid w:val="00E62C35"/>
    <w:rsid w:val="00E63642"/>
    <w:rsid w:val="00E63C94"/>
    <w:rsid w:val="00E64132"/>
    <w:rsid w:val="00E644E4"/>
    <w:rsid w:val="00E645E7"/>
    <w:rsid w:val="00E64A91"/>
    <w:rsid w:val="00E64CD2"/>
    <w:rsid w:val="00E6502B"/>
    <w:rsid w:val="00E659D5"/>
    <w:rsid w:val="00E65D59"/>
    <w:rsid w:val="00E660D7"/>
    <w:rsid w:val="00E67042"/>
    <w:rsid w:val="00E67654"/>
    <w:rsid w:val="00E67AB8"/>
    <w:rsid w:val="00E67D50"/>
    <w:rsid w:val="00E67EFA"/>
    <w:rsid w:val="00E708C2"/>
    <w:rsid w:val="00E708DB"/>
    <w:rsid w:val="00E70B3B"/>
    <w:rsid w:val="00E70C31"/>
    <w:rsid w:val="00E72001"/>
    <w:rsid w:val="00E72027"/>
    <w:rsid w:val="00E7265C"/>
    <w:rsid w:val="00E727FE"/>
    <w:rsid w:val="00E730EA"/>
    <w:rsid w:val="00E73642"/>
    <w:rsid w:val="00E73727"/>
    <w:rsid w:val="00E7381A"/>
    <w:rsid w:val="00E749B2"/>
    <w:rsid w:val="00E7541C"/>
    <w:rsid w:val="00E758D7"/>
    <w:rsid w:val="00E75CBA"/>
    <w:rsid w:val="00E75CF6"/>
    <w:rsid w:val="00E76382"/>
    <w:rsid w:val="00E765CC"/>
    <w:rsid w:val="00E766E0"/>
    <w:rsid w:val="00E76DAA"/>
    <w:rsid w:val="00E76E86"/>
    <w:rsid w:val="00E7724A"/>
    <w:rsid w:val="00E77474"/>
    <w:rsid w:val="00E779A0"/>
    <w:rsid w:val="00E809A8"/>
    <w:rsid w:val="00E80A76"/>
    <w:rsid w:val="00E80B82"/>
    <w:rsid w:val="00E80E01"/>
    <w:rsid w:val="00E81512"/>
    <w:rsid w:val="00E818D9"/>
    <w:rsid w:val="00E81A7B"/>
    <w:rsid w:val="00E81C83"/>
    <w:rsid w:val="00E81D8E"/>
    <w:rsid w:val="00E829C5"/>
    <w:rsid w:val="00E82D9A"/>
    <w:rsid w:val="00E82F4B"/>
    <w:rsid w:val="00E83449"/>
    <w:rsid w:val="00E83970"/>
    <w:rsid w:val="00E83C1F"/>
    <w:rsid w:val="00E83FFA"/>
    <w:rsid w:val="00E84041"/>
    <w:rsid w:val="00E84DD7"/>
    <w:rsid w:val="00E84F89"/>
    <w:rsid w:val="00E84FAC"/>
    <w:rsid w:val="00E85276"/>
    <w:rsid w:val="00E85309"/>
    <w:rsid w:val="00E85992"/>
    <w:rsid w:val="00E85A12"/>
    <w:rsid w:val="00E85C48"/>
    <w:rsid w:val="00E85C66"/>
    <w:rsid w:val="00E85E8D"/>
    <w:rsid w:val="00E85EE3"/>
    <w:rsid w:val="00E8617D"/>
    <w:rsid w:val="00E8666C"/>
    <w:rsid w:val="00E86807"/>
    <w:rsid w:val="00E86D56"/>
    <w:rsid w:val="00E86F7B"/>
    <w:rsid w:val="00E872A0"/>
    <w:rsid w:val="00E875E9"/>
    <w:rsid w:val="00E87E44"/>
    <w:rsid w:val="00E9057F"/>
    <w:rsid w:val="00E912C6"/>
    <w:rsid w:val="00E919CD"/>
    <w:rsid w:val="00E9242C"/>
    <w:rsid w:val="00E9293E"/>
    <w:rsid w:val="00E92B78"/>
    <w:rsid w:val="00E92D6D"/>
    <w:rsid w:val="00E92F5B"/>
    <w:rsid w:val="00E93189"/>
    <w:rsid w:val="00E93352"/>
    <w:rsid w:val="00E93BCC"/>
    <w:rsid w:val="00E945BD"/>
    <w:rsid w:val="00E945C5"/>
    <w:rsid w:val="00E946F5"/>
    <w:rsid w:val="00E94C6F"/>
    <w:rsid w:val="00E956BA"/>
    <w:rsid w:val="00E95A70"/>
    <w:rsid w:val="00E95AE4"/>
    <w:rsid w:val="00E95BDA"/>
    <w:rsid w:val="00E95D55"/>
    <w:rsid w:val="00E96336"/>
    <w:rsid w:val="00E96353"/>
    <w:rsid w:val="00E96AC1"/>
    <w:rsid w:val="00E96F6F"/>
    <w:rsid w:val="00E9712D"/>
    <w:rsid w:val="00E97204"/>
    <w:rsid w:val="00E97E31"/>
    <w:rsid w:val="00EA0174"/>
    <w:rsid w:val="00EA02DF"/>
    <w:rsid w:val="00EA03BD"/>
    <w:rsid w:val="00EA044D"/>
    <w:rsid w:val="00EA08A5"/>
    <w:rsid w:val="00EA14BC"/>
    <w:rsid w:val="00EA1C42"/>
    <w:rsid w:val="00EA1F57"/>
    <w:rsid w:val="00EA20C9"/>
    <w:rsid w:val="00EA2508"/>
    <w:rsid w:val="00EA2D54"/>
    <w:rsid w:val="00EA3220"/>
    <w:rsid w:val="00EA360D"/>
    <w:rsid w:val="00EA3CBD"/>
    <w:rsid w:val="00EA41F7"/>
    <w:rsid w:val="00EA4A6E"/>
    <w:rsid w:val="00EA4B2B"/>
    <w:rsid w:val="00EA4D8E"/>
    <w:rsid w:val="00EA5081"/>
    <w:rsid w:val="00EA576A"/>
    <w:rsid w:val="00EA61DD"/>
    <w:rsid w:val="00EA640D"/>
    <w:rsid w:val="00EA6758"/>
    <w:rsid w:val="00EA67FC"/>
    <w:rsid w:val="00EA6D54"/>
    <w:rsid w:val="00EA6E5B"/>
    <w:rsid w:val="00EA7277"/>
    <w:rsid w:val="00EA744E"/>
    <w:rsid w:val="00EA7679"/>
    <w:rsid w:val="00EA76E6"/>
    <w:rsid w:val="00EB0E2B"/>
    <w:rsid w:val="00EB10A6"/>
    <w:rsid w:val="00EB12DD"/>
    <w:rsid w:val="00EB1952"/>
    <w:rsid w:val="00EB2725"/>
    <w:rsid w:val="00EB29A0"/>
    <w:rsid w:val="00EB2DE5"/>
    <w:rsid w:val="00EB2EF9"/>
    <w:rsid w:val="00EB3263"/>
    <w:rsid w:val="00EB32C2"/>
    <w:rsid w:val="00EB3391"/>
    <w:rsid w:val="00EB3D29"/>
    <w:rsid w:val="00EB42B6"/>
    <w:rsid w:val="00EB45AE"/>
    <w:rsid w:val="00EB478A"/>
    <w:rsid w:val="00EB4B17"/>
    <w:rsid w:val="00EB5B48"/>
    <w:rsid w:val="00EB5D82"/>
    <w:rsid w:val="00EB5F5C"/>
    <w:rsid w:val="00EB673D"/>
    <w:rsid w:val="00EB6CA8"/>
    <w:rsid w:val="00EB6E3C"/>
    <w:rsid w:val="00EB6EB1"/>
    <w:rsid w:val="00EB73B1"/>
    <w:rsid w:val="00EB75ED"/>
    <w:rsid w:val="00EB7725"/>
    <w:rsid w:val="00EB7961"/>
    <w:rsid w:val="00EC0918"/>
    <w:rsid w:val="00EC0B5D"/>
    <w:rsid w:val="00EC10A9"/>
    <w:rsid w:val="00EC1210"/>
    <w:rsid w:val="00EC1350"/>
    <w:rsid w:val="00EC15CE"/>
    <w:rsid w:val="00EC15E5"/>
    <w:rsid w:val="00EC1696"/>
    <w:rsid w:val="00EC1987"/>
    <w:rsid w:val="00EC1D26"/>
    <w:rsid w:val="00EC2CB8"/>
    <w:rsid w:val="00EC33E0"/>
    <w:rsid w:val="00EC3DB8"/>
    <w:rsid w:val="00EC4509"/>
    <w:rsid w:val="00EC4527"/>
    <w:rsid w:val="00EC4768"/>
    <w:rsid w:val="00EC4D41"/>
    <w:rsid w:val="00EC4FA6"/>
    <w:rsid w:val="00EC516A"/>
    <w:rsid w:val="00EC5578"/>
    <w:rsid w:val="00EC58CC"/>
    <w:rsid w:val="00EC5BB1"/>
    <w:rsid w:val="00EC5E0A"/>
    <w:rsid w:val="00EC5F09"/>
    <w:rsid w:val="00EC62E3"/>
    <w:rsid w:val="00EC6CEE"/>
    <w:rsid w:val="00EC716E"/>
    <w:rsid w:val="00EC7356"/>
    <w:rsid w:val="00EC7A07"/>
    <w:rsid w:val="00ED01D6"/>
    <w:rsid w:val="00ED0453"/>
    <w:rsid w:val="00ED0E8E"/>
    <w:rsid w:val="00ED10F4"/>
    <w:rsid w:val="00ED13CB"/>
    <w:rsid w:val="00ED159D"/>
    <w:rsid w:val="00ED17C1"/>
    <w:rsid w:val="00ED1CF0"/>
    <w:rsid w:val="00ED1FAE"/>
    <w:rsid w:val="00ED23AE"/>
    <w:rsid w:val="00ED2933"/>
    <w:rsid w:val="00ED295A"/>
    <w:rsid w:val="00ED2FEC"/>
    <w:rsid w:val="00ED3002"/>
    <w:rsid w:val="00ED3E90"/>
    <w:rsid w:val="00ED43B7"/>
    <w:rsid w:val="00ED4625"/>
    <w:rsid w:val="00ED572C"/>
    <w:rsid w:val="00ED5956"/>
    <w:rsid w:val="00ED5B07"/>
    <w:rsid w:val="00ED5E95"/>
    <w:rsid w:val="00ED5FA0"/>
    <w:rsid w:val="00ED6C83"/>
    <w:rsid w:val="00ED7347"/>
    <w:rsid w:val="00ED7394"/>
    <w:rsid w:val="00ED7428"/>
    <w:rsid w:val="00ED7638"/>
    <w:rsid w:val="00ED7640"/>
    <w:rsid w:val="00EE01A0"/>
    <w:rsid w:val="00EE0CCD"/>
    <w:rsid w:val="00EE13BD"/>
    <w:rsid w:val="00EE184A"/>
    <w:rsid w:val="00EE1EEB"/>
    <w:rsid w:val="00EE204D"/>
    <w:rsid w:val="00EE243A"/>
    <w:rsid w:val="00EE2D0A"/>
    <w:rsid w:val="00EE2F6F"/>
    <w:rsid w:val="00EE309E"/>
    <w:rsid w:val="00EE3778"/>
    <w:rsid w:val="00EE3C79"/>
    <w:rsid w:val="00EE3E5E"/>
    <w:rsid w:val="00EE3F83"/>
    <w:rsid w:val="00EE42E2"/>
    <w:rsid w:val="00EE4447"/>
    <w:rsid w:val="00EE494D"/>
    <w:rsid w:val="00EE49BE"/>
    <w:rsid w:val="00EE4B37"/>
    <w:rsid w:val="00EE519A"/>
    <w:rsid w:val="00EE5B68"/>
    <w:rsid w:val="00EE5D5C"/>
    <w:rsid w:val="00EE67A2"/>
    <w:rsid w:val="00EE7070"/>
    <w:rsid w:val="00EE79D3"/>
    <w:rsid w:val="00EE7D7E"/>
    <w:rsid w:val="00EF0407"/>
    <w:rsid w:val="00EF0679"/>
    <w:rsid w:val="00EF1080"/>
    <w:rsid w:val="00EF110D"/>
    <w:rsid w:val="00EF12E4"/>
    <w:rsid w:val="00EF152E"/>
    <w:rsid w:val="00EF1887"/>
    <w:rsid w:val="00EF1E72"/>
    <w:rsid w:val="00EF1EF8"/>
    <w:rsid w:val="00EF1F3A"/>
    <w:rsid w:val="00EF2A51"/>
    <w:rsid w:val="00EF2F1B"/>
    <w:rsid w:val="00EF3581"/>
    <w:rsid w:val="00EF38C4"/>
    <w:rsid w:val="00EF4393"/>
    <w:rsid w:val="00EF44D1"/>
    <w:rsid w:val="00EF4ABE"/>
    <w:rsid w:val="00EF588E"/>
    <w:rsid w:val="00EF5D12"/>
    <w:rsid w:val="00EF6AC8"/>
    <w:rsid w:val="00EF6CA6"/>
    <w:rsid w:val="00EF6FA3"/>
    <w:rsid w:val="00EF78EF"/>
    <w:rsid w:val="00EF7A39"/>
    <w:rsid w:val="00EF7E3E"/>
    <w:rsid w:val="00EF7ED9"/>
    <w:rsid w:val="00F000B9"/>
    <w:rsid w:val="00F000D5"/>
    <w:rsid w:val="00F00BBB"/>
    <w:rsid w:val="00F0103F"/>
    <w:rsid w:val="00F01598"/>
    <w:rsid w:val="00F01A5E"/>
    <w:rsid w:val="00F02B99"/>
    <w:rsid w:val="00F02CDD"/>
    <w:rsid w:val="00F02EC3"/>
    <w:rsid w:val="00F03224"/>
    <w:rsid w:val="00F03770"/>
    <w:rsid w:val="00F03AE9"/>
    <w:rsid w:val="00F03B3D"/>
    <w:rsid w:val="00F03E59"/>
    <w:rsid w:val="00F0452F"/>
    <w:rsid w:val="00F0515C"/>
    <w:rsid w:val="00F0550F"/>
    <w:rsid w:val="00F0553D"/>
    <w:rsid w:val="00F05996"/>
    <w:rsid w:val="00F05BAC"/>
    <w:rsid w:val="00F05D8D"/>
    <w:rsid w:val="00F0617C"/>
    <w:rsid w:val="00F064A0"/>
    <w:rsid w:val="00F064A6"/>
    <w:rsid w:val="00F06AC2"/>
    <w:rsid w:val="00F06BA4"/>
    <w:rsid w:val="00F06E87"/>
    <w:rsid w:val="00F07363"/>
    <w:rsid w:val="00F07923"/>
    <w:rsid w:val="00F07C05"/>
    <w:rsid w:val="00F07C5B"/>
    <w:rsid w:val="00F1026D"/>
    <w:rsid w:val="00F108A8"/>
    <w:rsid w:val="00F10B13"/>
    <w:rsid w:val="00F10D8C"/>
    <w:rsid w:val="00F10E82"/>
    <w:rsid w:val="00F11867"/>
    <w:rsid w:val="00F119CA"/>
    <w:rsid w:val="00F12165"/>
    <w:rsid w:val="00F12C4A"/>
    <w:rsid w:val="00F1313B"/>
    <w:rsid w:val="00F13A55"/>
    <w:rsid w:val="00F13F2D"/>
    <w:rsid w:val="00F143D1"/>
    <w:rsid w:val="00F147FA"/>
    <w:rsid w:val="00F14C9D"/>
    <w:rsid w:val="00F15CDC"/>
    <w:rsid w:val="00F15E65"/>
    <w:rsid w:val="00F15E86"/>
    <w:rsid w:val="00F160C4"/>
    <w:rsid w:val="00F16759"/>
    <w:rsid w:val="00F168D4"/>
    <w:rsid w:val="00F16A0B"/>
    <w:rsid w:val="00F17039"/>
    <w:rsid w:val="00F2083F"/>
    <w:rsid w:val="00F20C05"/>
    <w:rsid w:val="00F20D97"/>
    <w:rsid w:val="00F20E47"/>
    <w:rsid w:val="00F20FDF"/>
    <w:rsid w:val="00F214EC"/>
    <w:rsid w:val="00F21EE3"/>
    <w:rsid w:val="00F227DC"/>
    <w:rsid w:val="00F22B25"/>
    <w:rsid w:val="00F22C0C"/>
    <w:rsid w:val="00F23071"/>
    <w:rsid w:val="00F232FD"/>
    <w:rsid w:val="00F23B98"/>
    <w:rsid w:val="00F23D18"/>
    <w:rsid w:val="00F23F0A"/>
    <w:rsid w:val="00F24025"/>
    <w:rsid w:val="00F246CE"/>
    <w:rsid w:val="00F25173"/>
    <w:rsid w:val="00F255B0"/>
    <w:rsid w:val="00F263E2"/>
    <w:rsid w:val="00F27056"/>
    <w:rsid w:val="00F272D0"/>
    <w:rsid w:val="00F27585"/>
    <w:rsid w:val="00F27A5D"/>
    <w:rsid w:val="00F27DC0"/>
    <w:rsid w:val="00F31034"/>
    <w:rsid w:val="00F319BE"/>
    <w:rsid w:val="00F31B2F"/>
    <w:rsid w:val="00F31BC9"/>
    <w:rsid w:val="00F31D57"/>
    <w:rsid w:val="00F32B50"/>
    <w:rsid w:val="00F331F2"/>
    <w:rsid w:val="00F33DBE"/>
    <w:rsid w:val="00F33EBE"/>
    <w:rsid w:val="00F34A2E"/>
    <w:rsid w:val="00F34A50"/>
    <w:rsid w:val="00F34FAE"/>
    <w:rsid w:val="00F36C7D"/>
    <w:rsid w:val="00F36D11"/>
    <w:rsid w:val="00F370B9"/>
    <w:rsid w:val="00F37ACC"/>
    <w:rsid w:val="00F4000C"/>
    <w:rsid w:val="00F405A9"/>
    <w:rsid w:val="00F4065E"/>
    <w:rsid w:val="00F406A3"/>
    <w:rsid w:val="00F40DF3"/>
    <w:rsid w:val="00F4115F"/>
    <w:rsid w:val="00F418F1"/>
    <w:rsid w:val="00F41B63"/>
    <w:rsid w:val="00F41BB3"/>
    <w:rsid w:val="00F422DC"/>
    <w:rsid w:val="00F4316C"/>
    <w:rsid w:val="00F4367C"/>
    <w:rsid w:val="00F43A54"/>
    <w:rsid w:val="00F4405E"/>
    <w:rsid w:val="00F4419D"/>
    <w:rsid w:val="00F449A1"/>
    <w:rsid w:val="00F44E5D"/>
    <w:rsid w:val="00F44F22"/>
    <w:rsid w:val="00F44F3D"/>
    <w:rsid w:val="00F4504C"/>
    <w:rsid w:val="00F45251"/>
    <w:rsid w:val="00F4541E"/>
    <w:rsid w:val="00F45ED4"/>
    <w:rsid w:val="00F461F6"/>
    <w:rsid w:val="00F47200"/>
    <w:rsid w:val="00F47463"/>
    <w:rsid w:val="00F47A7F"/>
    <w:rsid w:val="00F50A52"/>
    <w:rsid w:val="00F50E78"/>
    <w:rsid w:val="00F50F24"/>
    <w:rsid w:val="00F51271"/>
    <w:rsid w:val="00F5155C"/>
    <w:rsid w:val="00F517A8"/>
    <w:rsid w:val="00F51BF5"/>
    <w:rsid w:val="00F51DE4"/>
    <w:rsid w:val="00F51DFF"/>
    <w:rsid w:val="00F52260"/>
    <w:rsid w:val="00F52CB6"/>
    <w:rsid w:val="00F53815"/>
    <w:rsid w:val="00F53A97"/>
    <w:rsid w:val="00F53B2A"/>
    <w:rsid w:val="00F5400B"/>
    <w:rsid w:val="00F55128"/>
    <w:rsid w:val="00F55477"/>
    <w:rsid w:val="00F555D2"/>
    <w:rsid w:val="00F5584E"/>
    <w:rsid w:val="00F55BA7"/>
    <w:rsid w:val="00F55EEE"/>
    <w:rsid w:val="00F56A81"/>
    <w:rsid w:val="00F5727E"/>
    <w:rsid w:val="00F57588"/>
    <w:rsid w:val="00F57ADF"/>
    <w:rsid w:val="00F601CD"/>
    <w:rsid w:val="00F605E4"/>
    <w:rsid w:val="00F608C8"/>
    <w:rsid w:val="00F60AB4"/>
    <w:rsid w:val="00F61177"/>
    <w:rsid w:val="00F61305"/>
    <w:rsid w:val="00F613C2"/>
    <w:rsid w:val="00F617A5"/>
    <w:rsid w:val="00F6222A"/>
    <w:rsid w:val="00F62A17"/>
    <w:rsid w:val="00F62AC5"/>
    <w:rsid w:val="00F639AD"/>
    <w:rsid w:val="00F64969"/>
    <w:rsid w:val="00F65240"/>
    <w:rsid w:val="00F656A7"/>
    <w:rsid w:val="00F65B15"/>
    <w:rsid w:val="00F660EA"/>
    <w:rsid w:val="00F6674B"/>
    <w:rsid w:val="00F674F8"/>
    <w:rsid w:val="00F6797D"/>
    <w:rsid w:val="00F67EE7"/>
    <w:rsid w:val="00F71090"/>
    <w:rsid w:val="00F71343"/>
    <w:rsid w:val="00F71685"/>
    <w:rsid w:val="00F71927"/>
    <w:rsid w:val="00F721C8"/>
    <w:rsid w:val="00F72F04"/>
    <w:rsid w:val="00F733D5"/>
    <w:rsid w:val="00F735DB"/>
    <w:rsid w:val="00F73A22"/>
    <w:rsid w:val="00F73A92"/>
    <w:rsid w:val="00F73E04"/>
    <w:rsid w:val="00F741B6"/>
    <w:rsid w:val="00F745B0"/>
    <w:rsid w:val="00F745EC"/>
    <w:rsid w:val="00F74914"/>
    <w:rsid w:val="00F7492B"/>
    <w:rsid w:val="00F74E56"/>
    <w:rsid w:val="00F75444"/>
    <w:rsid w:val="00F7553A"/>
    <w:rsid w:val="00F759A1"/>
    <w:rsid w:val="00F75A4B"/>
    <w:rsid w:val="00F76839"/>
    <w:rsid w:val="00F76901"/>
    <w:rsid w:val="00F76A42"/>
    <w:rsid w:val="00F770FD"/>
    <w:rsid w:val="00F7737F"/>
    <w:rsid w:val="00F80814"/>
    <w:rsid w:val="00F80A5E"/>
    <w:rsid w:val="00F80B04"/>
    <w:rsid w:val="00F80EC6"/>
    <w:rsid w:val="00F810BF"/>
    <w:rsid w:val="00F8124D"/>
    <w:rsid w:val="00F81375"/>
    <w:rsid w:val="00F81C07"/>
    <w:rsid w:val="00F81C18"/>
    <w:rsid w:val="00F82B22"/>
    <w:rsid w:val="00F82F86"/>
    <w:rsid w:val="00F83146"/>
    <w:rsid w:val="00F83908"/>
    <w:rsid w:val="00F83EDC"/>
    <w:rsid w:val="00F83FB9"/>
    <w:rsid w:val="00F8431B"/>
    <w:rsid w:val="00F8448C"/>
    <w:rsid w:val="00F84854"/>
    <w:rsid w:val="00F84A4B"/>
    <w:rsid w:val="00F84AAE"/>
    <w:rsid w:val="00F84DF3"/>
    <w:rsid w:val="00F84ECE"/>
    <w:rsid w:val="00F850C8"/>
    <w:rsid w:val="00F85341"/>
    <w:rsid w:val="00F8549A"/>
    <w:rsid w:val="00F855C9"/>
    <w:rsid w:val="00F85AF2"/>
    <w:rsid w:val="00F86B41"/>
    <w:rsid w:val="00F86F0E"/>
    <w:rsid w:val="00F87908"/>
    <w:rsid w:val="00F879D6"/>
    <w:rsid w:val="00F87F76"/>
    <w:rsid w:val="00F904C9"/>
    <w:rsid w:val="00F905D1"/>
    <w:rsid w:val="00F90730"/>
    <w:rsid w:val="00F90ABA"/>
    <w:rsid w:val="00F910A1"/>
    <w:rsid w:val="00F9196C"/>
    <w:rsid w:val="00F91C2B"/>
    <w:rsid w:val="00F92BEA"/>
    <w:rsid w:val="00F930A5"/>
    <w:rsid w:val="00F932B1"/>
    <w:rsid w:val="00F93573"/>
    <w:rsid w:val="00F935D1"/>
    <w:rsid w:val="00F945F3"/>
    <w:rsid w:val="00F948D4"/>
    <w:rsid w:val="00F94D1F"/>
    <w:rsid w:val="00F95949"/>
    <w:rsid w:val="00F95E8E"/>
    <w:rsid w:val="00F95ED7"/>
    <w:rsid w:val="00F96C78"/>
    <w:rsid w:val="00F96E0C"/>
    <w:rsid w:val="00FA0158"/>
    <w:rsid w:val="00FA0640"/>
    <w:rsid w:val="00FA0D1A"/>
    <w:rsid w:val="00FA1506"/>
    <w:rsid w:val="00FA150E"/>
    <w:rsid w:val="00FA1DA6"/>
    <w:rsid w:val="00FA1EBA"/>
    <w:rsid w:val="00FA248E"/>
    <w:rsid w:val="00FA273E"/>
    <w:rsid w:val="00FA2911"/>
    <w:rsid w:val="00FA2931"/>
    <w:rsid w:val="00FA2A89"/>
    <w:rsid w:val="00FA2B4C"/>
    <w:rsid w:val="00FA36A6"/>
    <w:rsid w:val="00FA3E17"/>
    <w:rsid w:val="00FA3E3A"/>
    <w:rsid w:val="00FA402B"/>
    <w:rsid w:val="00FA4664"/>
    <w:rsid w:val="00FA466C"/>
    <w:rsid w:val="00FA474F"/>
    <w:rsid w:val="00FA4A10"/>
    <w:rsid w:val="00FA5423"/>
    <w:rsid w:val="00FA54AC"/>
    <w:rsid w:val="00FA5A8F"/>
    <w:rsid w:val="00FA5B87"/>
    <w:rsid w:val="00FA5D6F"/>
    <w:rsid w:val="00FA5EF6"/>
    <w:rsid w:val="00FA5FEA"/>
    <w:rsid w:val="00FA6065"/>
    <w:rsid w:val="00FA6327"/>
    <w:rsid w:val="00FA66E8"/>
    <w:rsid w:val="00FA691E"/>
    <w:rsid w:val="00FA727B"/>
    <w:rsid w:val="00FA7504"/>
    <w:rsid w:val="00FB010F"/>
    <w:rsid w:val="00FB03AA"/>
    <w:rsid w:val="00FB0ECA"/>
    <w:rsid w:val="00FB1669"/>
    <w:rsid w:val="00FB1782"/>
    <w:rsid w:val="00FB1946"/>
    <w:rsid w:val="00FB1A88"/>
    <w:rsid w:val="00FB1E0C"/>
    <w:rsid w:val="00FB255C"/>
    <w:rsid w:val="00FB2A22"/>
    <w:rsid w:val="00FB3420"/>
    <w:rsid w:val="00FB3A6F"/>
    <w:rsid w:val="00FB3B27"/>
    <w:rsid w:val="00FB42E7"/>
    <w:rsid w:val="00FB43B2"/>
    <w:rsid w:val="00FB473D"/>
    <w:rsid w:val="00FB478D"/>
    <w:rsid w:val="00FB4E1C"/>
    <w:rsid w:val="00FB5135"/>
    <w:rsid w:val="00FB5231"/>
    <w:rsid w:val="00FB525C"/>
    <w:rsid w:val="00FB593E"/>
    <w:rsid w:val="00FB5D78"/>
    <w:rsid w:val="00FB5F39"/>
    <w:rsid w:val="00FB616E"/>
    <w:rsid w:val="00FB6C48"/>
    <w:rsid w:val="00FB6D08"/>
    <w:rsid w:val="00FB7EA5"/>
    <w:rsid w:val="00FC0159"/>
    <w:rsid w:val="00FC053D"/>
    <w:rsid w:val="00FC0B72"/>
    <w:rsid w:val="00FC0DEA"/>
    <w:rsid w:val="00FC0F9F"/>
    <w:rsid w:val="00FC15F6"/>
    <w:rsid w:val="00FC18F9"/>
    <w:rsid w:val="00FC1BD7"/>
    <w:rsid w:val="00FC1BF0"/>
    <w:rsid w:val="00FC1CB4"/>
    <w:rsid w:val="00FC1D58"/>
    <w:rsid w:val="00FC2C4F"/>
    <w:rsid w:val="00FC2D26"/>
    <w:rsid w:val="00FC2D97"/>
    <w:rsid w:val="00FC2DEC"/>
    <w:rsid w:val="00FC357B"/>
    <w:rsid w:val="00FC48A2"/>
    <w:rsid w:val="00FC4D6B"/>
    <w:rsid w:val="00FC4FEE"/>
    <w:rsid w:val="00FC50B2"/>
    <w:rsid w:val="00FC5150"/>
    <w:rsid w:val="00FC54A3"/>
    <w:rsid w:val="00FC55F9"/>
    <w:rsid w:val="00FC560A"/>
    <w:rsid w:val="00FC56B5"/>
    <w:rsid w:val="00FC5729"/>
    <w:rsid w:val="00FC5AE9"/>
    <w:rsid w:val="00FC685A"/>
    <w:rsid w:val="00FC69F8"/>
    <w:rsid w:val="00FC7570"/>
    <w:rsid w:val="00FC7831"/>
    <w:rsid w:val="00FC7A61"/>
    <w:rsid w:val="00FC7B23"/>
    <w:rsid w:val="00FD03F4"/>
    <w:rsid w:val="00FD04A8"/>
    <w:rsid w:val="00FD08B8"/>
    <w:rsid w:val="00FD0C13"/>
    <w:rsid w:val="00FD1066"/>
    <w:rsid w:val="00FD15C9"/>
    <w:rsid w:val="00FD164E"/>
    <w:rsid w:val="00FD186D"/>
    <w:rsid w:val="00FD1906"/>
    <w:rsid w:val="00FD19DA"/>
    <w:rsid w:val="00FD1A03"/>
    <w:rsid w:val="00FD1B05"/>
    <w:rsid w:val="00FD2916"/>
    <w:rsid w:val="00FD30AF"/>
    <w:rsid w:val="00FD3507"/>
    <w:rsid w:val="00FD37A4"/>
    <w:rsid w:val="00FD4D34"/>
    <w:rsid w:val="00FD5908"/>
    <w:rsid w:val="00FD5CAE"/>
    <w:rsid w:val="00FD61F3"/>
    <w:rsid w:val="00FD62A3"/>
    <w:rsid w:val="00FD6A03"/>
    <w:rsid w:val="00FD6ABA"/>
    <w:rsid w:val="00FD6CAC"/>
    <w:rsid w:val="00FD6E39"/>
    <w:rsid w:val="00FD701C"/>
    <w:rsid w:val="00FD74AC"/>
    <w:rsid w:val="00FD7609"/>
    <w:rsid w:val="00FD771D"/>
    <w:rsid w:val="00FD77B5"/>
    <w:rsid w:val="00FD7DAB"/>
    <w:rsid w:val="00FE027F"/>
    <w:rsid w:val="00FE0A19"/>
    <w:rsid w:val="00FE1A98"/>
    <w:rsid w:val="00FE1BCF"/>
    <w:rsid w:val="00FE20BD"/>
    <w:rsid w:val="00FE248E"/>
    <w:rsid w:val="00FE24F7"/>
    <w:rsid w:val="00FE2521"/>
    <w:rsid w:val="00FE265D"/>
    <w:rsid w:val="00FE2782"/>
    <w:rsid w:val="00FE2B7E"/>
    <w:rsid w:val="00FE2FBF"/>
    <w:rsid w:val="00FE3434"/>
    <w:rsid w:val="00FE34DA"/>
    <w:rsid w:val="00FE364A"/>
    <w:rsid w:val="00FE366D"/>
    <w:rsid w:val="00FE372C"/>
    <w:rsid w:val="00FE3AF8"/>
    <w:rsid w:val="00FE3B66"/>
    <w:rsid w:val="00FE3E01"/>
    <w:rsid w:val="00FE4DDD"/>
    <w:rsid w:val="00FE4F13"/>
    <w:rsid w:val="00FE506D"/>
    <w:rsid w:val="00FE5332"/>
    <w:rsid w:val="00FE5357"/>
    <w:rsid w:val="00FE5395"/>
    <w:rsid w:val="00FE5D73"/>
    <w:rsid w:val="00FE630E"/>
    <w:rsid w:val="00FE6883"/>
    <w:rsid w:val="00FE70CA"/>
    <w:rsid w:val="00FE75CC"/>
    <w:rsid w:val="00FE7927"/>
    <w:rsid w:val="00FE7F80"/>
    <w:rsid w:val="00FF0946"/>
    <w:rsid w:val="00FF1298"/>
    <w:rsid w:val="00FF175F"/>
    <w:rsid w:val="00FF1928"/>
    <w:rsid w:val="00FF1C7B"/>
    <w:rsid w:val="00FF2077"/>
    <w:rsid w:val="00FF30A7"/>
    <w:rsid w:val="00FF33E3"/>
    <w:rsid w:val="00FF3646"/>
    <w:rsid w:val="00FF3743"/>
    <w:rsid w:val="00FF40D2"/>
    <w:rsid w:val="00FF41A3"/>
    <w:rsid w:val="00FF4774"/>
    <w:rsid w:val="00FF573D"/>
    <w:rsid w:val="00FF5E69"/>
    <w:rsid w:val="00FF72D8"/>
    <w:rsid w:val="00FF74E9"/>
    <w:rsid w:val="00FF7603"/>
    <w:rsid w:val="00FF77B6"/>
    <w:rsid w:val="00FF7897"/>
    <w:rsid w:val="00FF7AAE"/>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730"/>
    <w:rPr>
      <w:sz w:val="24"/>
      <w:szCs w:val="24"/>
      <w:lang w:eastAsia="zh-CN"/>
    </w:rPr>
  </w:style>
  <w:style w:type="paragraph" w:styleId="Heading1">
    <w:name w:val="heading 1"/>
    <w:basedOn w:val="Normal"/>
    <w:next w:val="Normal"/>
    <w:link w:val="Heading1Char"/>
    <w:uiPriority w:val="99"/>
    <w:qFormat/>
    <w:rsid w:val="007B54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A05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F110D"/>
    <w:pPr>
      <w:keepNext/>
      <w:spacing w:before="240" w:after="60"/>
      <w:outlineLvl w:val="2"/>
    </w:pPr>
    <w:rPr>
      <w:rFonts w:ascii="Arial" w:hAnsi="Arial" w:cs="Arial"/>
      <w:b/>
      <w:bCs/>
      <w:sz w:val="26"/>
      <w:szCs w:val="26"/>
    </w:rPr>
  </w:style>
  <w:style w:type="paragraph" w:styleId="Heading6">
    <w:name w:val="heading 6"/>
    <w:basedOn w:val="Normal"/>
    <w:link w:val="Heading6Char"/>
    <w:uiPriority w:val="99"/>
    <w:qFormat/>
    <w:locked/>
    <w:rsid w:val="0094526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5442"/>
    <w:rPr>
      <w:rFonts w:ascii="Arial" w:eastAsia="SimSun" w:hAnsi="Arial" w:cs="Arial"/>
      <w:b/>
      <w:bCs/>
      <w:kern w:val="32"/>
      <w:sz w:val="32"/>
      <w:szCs w:val="32"/>
      <w:lang w:val="en-GB" w:eastAsia="zh-CN" w:bidi="ar-SA"/>
    </w:rPr>
  </w:style>
  <w:style w:type="character" w:customStyle="1" w:styleId="Heading2Char">
    <w:name w:val="Heading 2 Char"/>
    <w:basedOn w:val="DefaultParagraphFont"/>
    <w:link w:val="Heading2"/>
    <w:uiPriority w:val="99"/>
    <w:locked/>
    <w:rsid w:val="00076B26"/>
    <w:rPr>
      <w:rFonts w:ascii="Arial" w:eastAsia="SimSun" w:hAnsi="Arial" w:cs="Arial"/>
      <w:b/>
      <w:bCs/>
      <w:i/>
      <w:iCs/>
      <w:sz w:val="28"/>
      <w:szCs w:val="28"/>
      <w:lang w:val="en-GB" w:eastAsia="zh-CN" w:bidi="ar-SA"/>
    </w:rPr>
  </w:style>
  <w:style w:type="character" w:customStyle="1" w:styleId="Heading3Char">
    <w:name w:val="Heading 3 Char"/>
    <w:basedOn w:val="DefaultParagraphFont"/>
    <w:link w:val="Heading3"/>
    <w:uiPriority w:val="99"/>
    <w:semiHidden/>
    <w:locked/>
    <w:rsid w:val="00325F0B"/>
    <w:rPr>
      <w:rFonts w:ascii="Cambria" w:eastAsia="SimSun" w:hAnsi="Cambria" w:cs="Times New Roman"/>
      <w:b/>
      <w:bCs/>
      <w:sz w:val="26"/>
      <w:szCs w:val="26"/>
    </w:rPr>
  </w:style>
  <w:style w:type="character" w:customStyle="1" w:styleId="Heading6Char">
    <w:name w:val="Heading 6 Char"/>
    <w:basedOn w:val="DefaultParagraphFont"/>
    <w:link w:val="Heading6"/>
    <w:uiPriority w:val="9"/>
    <w:semiHidden/>
    <w:rsid w:val="0066057B"/>
    <w:rPr>
      <w:rFonts w:ascii="Calibri" w:eastAsia="Times New Roman" w:hAnsi="Calibri" w:cs="Times New Roman"/>
      <w:b/>
      <w:bCs/>
    </w:rPr>
  </w:style>
  <w:style w:type="paragraph" w:styleId="Bibliography">
    <w:name w:val="Bibliography"/>
    <w:aliases w:val="BIB"/>
    <w:basedOn w:val="Normal"/>
    <w:link w:val="BibliographyChar"/>
    <w:uiPriority w:val="99"/>
    <w:rsid w:val="00CB383C"/>
    <w:pPr>
      <w:autoSpaceDE w:val="0"/>
      <w:autoSpaceDN w:val="0"/>
      <w:adjustRightInd w:val="0"/>
      <w:spacing w:before="120" w:after="120"/>
      <w:ind w:left="833" w:hanging="833"/>
      <w:jc w:val="both"/>
    </w:pPr>
    <w:rPr>
      <w:bCs/>
      <w:lang w:eastAsia="en-GB"/>
    </w:rPr>
  </w:style>
  <w:style w:type="paragraph" w:customStyle="1" w:styleId="Heading4">
    <w:name w:val="Heading4"/>
    <w:basedOn w:val="Normal"/>
    <w:uiPriority w:val="99"/>
    <w:rsid w:val="005A40BE"/>
    <w:pPr>
      <w:spacing w:line="360" w:lineRule="auto"/>
      <w:jc w:val="both"/>
    </w:pPr>
    <w:rPr>
      <w:bCs/>
      <w:sz w:val="22"/>
      <w:lang w:eastAsia="en-GB"/>
    </w:rPr>
  </w:style>
  <w:style w:type="paragraph" w:customStyle="1" w:styleId="Style3">
    <w:name w:val="Style3"/>
    <w:basedOn w:val="Normal"/>
    <w:uiPriority w:val="99"/>
    <w:rsid w:val="00C10B66"/>
    <w:pPr>
      <w:spacing w:line="360" w:lineRule="auto"/>
      <w:jc w:val="both"/>
    </w:pPr>
    <w:rPr>
      <w:b/>
      <w:bCs/>
      <w:color w:val="4F81BD"/>
      <w:szCs w:val="22"/>
      <w:lang w:eastAsia="en-US"/>
    </w:rPr>
  </w:style>
  <w:style w:type="paragraph" w:customStyle="1" w:styleId="Style1-3">
    <w:name w:val="Style1-3"/>
    <w:basedOn w:val="Normal"/>
    <w:uiPriority w:val="99"/>
    <w:rsid w:val="00FB5135"/>
    <w:pPr>
      <w:spacing w:line="360" w:lineRule="auto"/>
      <w:jc w:val="both"/>
    </w:pPr>
    <w:rPr>
      <w:b/>
      <w:lang w:eastAsia="en-US"/>
    </w:rPr>
  </w:style>
  <w:style w:type="paragraph" w:styleId="ListParagraph">
    <w:name w:val="List Paragraph"/>
    <w:basedOn w:val="Normal"/>
    <w:uiPriority w:val="99"/>
    <w:qFormat/>
    <w:rsid w:val="00812C97"/>
    <w:pPr>
      <w:spacing w:after="200" w:line="276" w:lineRule="auto"/>
      <w:ind w:left="720"/>
      <w:contextualSpacing/>
    </w:pPr>
    <w:rPr>
      <w:rFonts w:ascii="Calibri" w:hAnsi="Calibri"/>
      <w:sz w:val="22"/>
      <w:szCs w:val="22"/>
      <w:lang w:eastAsia="en-US"/>
    </w:rPr>
  </w:style>
  <w:style w:type="paragraph" w:styleId="FootnoteText">
    <w:name w:val="footnote text"/>
    <w:aliases w:val="Char1 Char,Char Char Char Char1,Char Char Char Char Char Char Char Char1,Char Char Char1 Char Char Char Char1,Footnote Text Char1 Char1 Char1,Char1 Char2,Char Char Char2,Footnote Text Char2 Char Char,Footnote Text Char1 Char Char Char"/>
    <w:basedOn w:val="Normal"/>
    <w:link w:val="FootnoteTextChar1"/>
    <w:uiPriority w:val="99"/>
    <w:rsid w:val="00572CA1"/>
    <w:pPr>
      <w:spacing w:after="200" w:line="276" w:lineRule="auto"/>
    </w:pPr>
    <w:rPr>
      <w:rFonts w:ascii="Calibri" w:hAnsi="Calibri"/>
      <w:sz w:val="20"/>
      <w:szCs w:val="20"/>
      <w:lang w:eastAsia="en-US"/>
    </w:rPr>
  </w:style>
  <w:style w:type="character" w:customStyle="1" w:styleId="FootnoteTextChar">
    <w:name w:val="Footnote Text Char"/>
    <w:aliases w:val="Footnote Text Char1 Char,Char1 Char1 Char,Char Char Char Char1 Char,Footnote Text Char2 Char Char1 Char,Footnote Text Char1 Char Char Char1 Char,Footnote Text Char Char Char Char Char1 Char,Char Char Char1 Char Char Char Char1 Char"/>
    <w:basedOn w:val="DefaultParagraphFont"/>
    <w:link w:val="FootnoteText"/>
    <w:uiPriority w:val="99"/>
    <w:locked/>
    <w:rsid w:val="00502A1C"/>
    <w:rPr>
      <w:rFonts w:cs="Times New Roman"/>
      <w:sz w:val="20"/>
      <w:szCs w:val="20"/>
    </w:rPr>
  </w:style>
  <w:style w:type="character" w:customStyle="1" w:styleId="FootnoteTextChar1">
    <w:name w:val="Footnote Text Char1"/>
    <w:aliases w:val="Char1 Char Char,Char Char Char Char1 Char1,Char Char Char Char Char Char Char Char1 Char,Char Char Char1 Char Char Char Char1 Char1,Footnote Text Char1 Char1 Char1 Char,Char1 Char2 Char,Char Char Char2 Char"/>
    <w:basedOn w:val="DefaultParagraphFont"/>
    <w:link w:val="FootnoteText"/>
    <w:uiPriority w:val="99"/>
    <w:semiHidden/>
    <w:locked/>
    <w:rsid w:val="00325F0B"/>
    <w:rPr>
      <w:rFonts w:cs="Times New Roman"/>
      <w:sz w:val="20"/>
      <w:szCs w:val="20"/>
    </w:rPr>
  </w:style>
  <w:style w:type="character" w:styleId="FootnoteReference">
    <w:name w:val="footnote reference"/>
    <w:basedOn w:val="DefaultParagraphFont"/>
    <w:uiPriority w:val="99"/>
    <w:semiHidden/>
    <w:rsid w:val="00572CA1"/>
    <w:rPr>
      <w:rFonts w:cs="Times New Roman"/>
      <w:vertAlign w:val="superscript"/>
    </w:rPr>
  </w:style>
  <w:style w:type="paragraph" w:styleId="NormalWeb">
    <w:name w:val="Normal (Web)"/>
    <w:basedOn w:val="Normal"/>
    <w:uiPriority w:val="99"/>
    <w:rsid w:val="00CF4249"/>
    <w:pPr>
      <w:spacing w:before="100" w:beforeAutospacing="1" w:after="100" w:afterAutospacing="1"/>
    </w:pPr>
  </w:style>
  <w:style w:type="character" w:styleId="Emphasis">
    <w:name w:val="Emphasis"/>
    <w:basedOn w:val="DefaultParagraphFont"/>
    <w:uiPriority w:val="99"/>
    <w:qFormat/>
    <w:rsid w:val="00CF4249"/>
    <w:rPr>
      <w:rFonts w:cs="Times New Roman"/>
      <w:i/>
      <w:iCs/>
    </w:rPr>
  </w:style>
  <w:style w:type="paragraph" w:customStyle="1" w:styleId="DPekakappale">
    <w:name w:val="DP_ekakappale"/>
    <w:basedOn w:val="Normal"/>
    <w:next w:val="Normal"/>
    <w:uiPriority w:val="99"/>
    <w:rsid w:val="00EB478A"/>
    <w:pPr>
      <w:autoSpaceDE w:val="0"/>
      <w:autoSpaceDN w:val="0"/>
      <w:adjustRightInd w:val="0"/>
    </w:pPr>
  </w:style>
  <w:style w:type="paragraph" w:customStyle="1" w:styleId="Default">
    <w:name w:val="Default"/>
    <w:uiPriority w:val="99"/>
    <w:rsid w:val="00EB478A"/>
    <w:pPr>
      <w:autoSpaceDE w:val="0"/>
      <w:autoSpaceDN w:val="0"/>
      <w:adjustRightInd w:val="0"/>
    </w:pPr>
    <w:rPr>
      <w:color w:val="000000"/>
      <w:sz w:val="24"/>
      <w:szCs w:val="24"/>
      <w:lang w:eastAsia="zh-CN"/>
    </w:rPr>
  </w:style>
  <w:style w:type="paragraph" w:customStyle="1" w:styleId="DPReferences">
    <w:name w:val="DP_References"/>
    <w:basedOn w:val="Default"/>
    <w:next w:val="Default"/>
    <w:uiPriority w:val="99"/>
    <w:rsid w:val="00EB478A"/>
    <w:pPr>
      <w:spacing w:before="120" w:after="120"/>
    </w:pPr>
    <w:rPr>
      <w:color w:val="auto"/>
    </w:rPr>
  </w:style>
  <w:style w:type="paragraph" w:customStyle="1" w:styleId="Normal1">
    <w:name w:val="Normal+1"/>
    <w:basedOn w:val="Default"/>
    <w:next w:val="Default"/>
    <w:uiPriority w:val="99"/>
    <w:rsid w:val="00090FA6"/>
    <w:pPr>
      <w:spacing w:before="480"/>
    </w:pPr>
    <w:rPr>
      <w:rFonts w:ascii="Arial" w:hAnsi="Arial"/>
      <w:color w:val="auto"/>
    </w:rPr>
  </w:style>
  <w:style w:type="character" w:styleId="Hyperlink">
    <w:name w:val="Hyperlink"/>
    <w:basedOn w:val="DefaultParagraphFont"/>
    <w:uiPriority w:val="99"/>
    <w:rsid w:val="00090FA6"/>
    <w:rPr>
      <w:rFonts w:cs="Times New Roman"/>
      <w:color w:val="0000FF"/>
      <w:u w:val="single"/>
    </w:rPr>
  </w:style>
  <w:style w:type="paragraph" w:styleId="Caption">
    <w:name w:val="caption"/>
    <w:basedOn w:val="Normal"/>
    <w:next w:val="Normal"/>
    <w:uiPriority w:val="99"/>
    <w:qFormat/>
    <w:rsid w:val="00C57E3A"/>
    <w:rPr>
      <w:b/>
      <w:bCs/>
      <w:sz w:val="20"/>
      <w:szCs w:val="20"/>
    </w:rPr>
  </w:style>
  <w:style w:type="character" w:styleId="HTMLCite">
    <w:name w:val="HTML Cite"/>
    <w:basedOn w:val="DefaultParagraphFont"/>
    <w:uiPriority w:val="99"/>
    <w:rsid w:val="008E6B82"/>
    <w:rPr>
      <w:rFonts w:cs="Times New Roman"/>
      <w:i/>
      <w:iCs/>
    </w:rPr>
  </w:style>
  <w:style w:type="paragraph" w:styleId="DocumentMap">
    <w:name w:val="Document Map"/>
    <w:basedOn w:val="Normal"/>
    <w:link w:val="DocumentMapChar"/>
    <w:uiPriority w:val="99"/>
    <w:semiHidden/>
    <w:rsid w:val="007B54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25F0B"/>
    <w:rPr>
      <w:rFonts w:cs="Times New Roman"/>
      <w:sz w:val="2"/>
    </w:rPr>
  </w:style>
  <w:style w:type="paragraph" w:styleId="Header">
    <w:name w:val="header"/>
    <w:basedOn w:val="Normal"/>
    <w:link w:val="HeaderChar"/>
    <w:uiPriority w:val="99"/>
    <w:semiHidden/>
    <w:rsid w:val="00744850"/>
    <w:pPr>
      <w:tabs>
        <w:tab w:val="center" w:pos="4513"/>
        <w:tab w:val="right" w:pos="9026"/>
      </w:tabs>
    </w:pPr>
  </w:style>
  <w:style w:type="character" w:customStyle="1" w:styleId="HeaderChar">
    <w:name w:val="Header Char"/>
    <w:basedOn w:val="DefaultParagraphFont"/>
    <w:link w:val="Header"/>
    <w:uiPriority w:val="99"/>
    <w:semiHidden/>
    <w:locked/>
    <w:rsid w:val="00744850"/>
    <w:rPr>
      <w:rFonts w:cs="Times New Roman"/>
      <w:sz w:val="24"/>
      <w:szCs w:val="24"/>
      <w:lang w:eastAsia="zh-CN"/>
    </w:rPr>
  </w:style>
  <w:style w:type="paragraph" w:styleId="Footer">
    <w:name w:val="footer"/>
    <w:basedOn w:val="Normal"/>
    <w:link w:val="FooterChar"/>
    <w:uiPriority w:val="99"/>
    <w:semiHidden/>
    <w:rsid w:val="00744850"/>
    <w:pPr>
      <w:tabs>
        <w:tab w:val="center" w:pos="4513"/>
        <w:tab w:val="right" w:pos="9026"/>
      </w:tabs>
    </w:pPr>
  </w:style>
  <w:style w:type="character" w:customStyle="1" w:styleId="FooterChar">
    <w:name w:val="Footer Char"/>
    <w:basedOn w:val="DefaultParagraphFont"/>
    <w:link w:val="Footer"/>
    <w:uiPriority w:val="99"/>
    <w:semiHidden/>
    <w:locked/>
    <w:rsid w:val="00744850"/>
    <w:rPr>
      <w:rFonts w:cs="Times New Roman"/>
      <w:sz w:val="24"/>
      <w:szCs w:val="24"/>
      <w:lang w:eastAsia="zh-CN"/>
    </w:rPr>
  </w:style>
  <w:style w:type="character" w:styleId="CommentReference">
    <w:name w:val="annotation reference"/>
    <w:basedOn w:val="DefaultParagraphFont"/>
    <w:uiPriority w:val="99"/>
    <w:semiHidden/>
    <w:rsid w:val="00FF7897"/>
    <w:rPr>
      <w:rFonts w:cs="Times New Roman"/>
      <w:sz w:val="16"/>
      <w:szCs w:val="16"/>
    </w:rPr>
  </w:style>
  <w:style w:type="paragraph" w:styleId="CommentText">
    <w:name w:val="annotation text"/>
    <w:basedOn w:val="Normal"/>
    <w:link w:val="CommentTextChar"/>
    <w:uiPriority w:val="99"/>
    <w:semiHidden/>
    <w:rsid w:val="00FF7897"/>
    <w:rPr>
      <w:sz w:val="20"/>
      <w:szCs w:val="20"/>
    </w:rPr>
  </w:style>
  <w:style w:type="character" w:customStyle="1" w:styleId="CommentTextChar">
    <w:name w:val="Comment Text Char"/>
    <w:basedOn w:val="DefaultParagraphFont"/>
    <w:link w:val="CommentText"/>
    <w:uiPriority w:val="99"/>
    <w:semiHidden/>
    <w:locked/>
    <w:rsid w:val="00FF7897"/>
    <w:rPr>
      <w:rFonts w:cs="Times New Roman"/>
      <w:lang w:eastAsia="zh-CN"/>
    </w:rPr>
  </w:style>
  <w:style w:type="paragraph" w:styleId="CommentSubject">
    <w:name w:val="annotation subject"/>
    <w:basedOn w:val="CommentText"/>
    <w:next w:val="CommentText"/>
    <w:link w:val="CommentSubjectChar"/>
    <w:uiPriority w:val="99"/>
    <w:semiHidden/>
    <w:rsid w:val="00FF7897"/>
    <w:rPr>
      <w:b/>
      <w:bCs/>
    </w:rPr>
  </w:style>
  <w:style w:type="character" w:customStyle="1" w:styleId="CommentSubjectChar">
    <w:name w:val="Comment Subject Char"/>
    <w:basedOn w:val="CommentTextChar"/>
    <w:link w:val="CommentSubject"/>
    <w:uiPriority w:val="99"/>
    <w:semiHidden/>
    <w:locked/>
    <w:rsid w:val="00FF7897"/>
    <w:rPr>
      <w:b/>
      <w:bCs/>
    </w:rPr>
  </w:style>
  <w:style w:type="paragraph" w:styleId="BalloonText">
    <w:name w:val="Balloon Text"/>
    <w:basedOn w:val="Normal"/>
    <w:link w:val="BalloonTextChar"/>
    <w:uiPriority w:val="99"/>
    <w:semiHidden/>
    <w:rsid w:val="00FF7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897"/>
    <w:rPr>
      <w:rFonts w:ascii="Tahoma" w:hAnsi="Tahoma" w:cs="Tahoma"/>
      <w:sz w:val="16"/>
      <w:szCs w:val="16"/>
      <w:lang w:eastAsia="zh-CN"/>
    </w:rPr>
  </w:style>
  <w:style w:type="paragraph" w:styleId="Revision">
    <w:name w:val="Revision"/>
    <w:hidden/>
    <w:uiPriority w:val="99"/>
    <w:semiHidden/>
    <w:rsid w:val="00FA3E17"/>
    <w:rPr>
      <w:sz w:val="24"/>
      <w:szCs w:val="24"/>
      <w:lang w:eastAsia="zh-CN"/>
    </w:rPr>
  </w:style>
  <w:style w:type="character" w:styleId="Strong">
    <w:name w:val="Strong"/>
    <w:basedOn w:val="DefaultParagraphFont"/>
    <w:uiPriority w:val="99"/>
    <w:qFormat/>
    <w:locked/>
    <w:rsid w:val="00DA45C6"/>
    <w:rPr>
      <w:rFonts w:cs="Times New Roman"/>
      <w:b/>
      <w:bCs/>
    </w:rPr>
  </w:style>
  <w:style w:type="paragraph" w:styleId="BodyTextIndent3">
    <w:name w:val="Body Text Indent 3"/>
    <w:basedOn w:val="Default"/>
    <w:next w:val="Default"/>
    <w:link w:val="BodyTextIndent3Char"/>
    <w:uiPriority w:val="99"/>
    <w:rsid w:val="00DA45C6"/>
    <w:rPr>
      <w:color w:val="auto"/>
    </w:rPr>
  </w:style>
  <w:style w:type="character" w:customStyle="1" w:styleId="BodyTextIndent3Char">
    <w:name w:val="Body Text Indent 3 Char"/>
    <w:basedOn w:val="DefaultParagraphFont"/>
    <w:link w:val="BodyTextIndent3"/>
    <w:uiPriority w:val="99"/>
    <w:semiHidden/>
    <w:rsid w:val="0066057B"/>
    <w:rPr>
      <w:sz w:val="16"/>
      <w:szCs w:val="16"/>
    </w:rPr>
  </w:style>
  <w:style w:type="character" w:customStyle="1" w:styleId="BibliographyChar">
    <w:name w:val="Bibliography Char"/>
    <w:aliases w:val="BIB Char"/>
    <w:basedOn w:val="DefaultParagraphFont"/>
    <w:link w:val="Bibliography"/>
    <w:uiPriority w:val="99"/>
    <w:locked/>
    <w:rsid w:val="00B5358F"/>
    <w:rPr>
      <w:rFonts w:eastAsia="SimSun" w:cs="Times New Roman"/>
      <w:bCs/>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1973635116">
      <w:marLeft w:val="0"/>
      <w:marRight w:val="0"/>
      <w:marTop w:val="0"/>
      <w:marBottom w:val="0"/>
      <w:divBdr>
        <w:top w:val="none" w:sz="0" w:space="0" w:color="auto"/>
        <w:left w:val="none" w:sz="0" w:space="0" w:color="auto"/>
        <w:bottom w:val="none" w:sz="0" w:space="0" w:color="auto"/>
        <w:right w:val="none" w:sz="0" w:space="0" w:color="auto"/>
      </w:divBdr>
    </w:div>
    <w:div w:id="1973635117">
      <w:marLeft w:val="0"/>
      <w:marRight w:val="0"/>
      <w:marTop w:val="0"/>
      <w:marBottom w:val="0"/>
      <w:divBdr>
        <w:top w:val="none" w:sz="0" w:space="0" w:color="auto"/>
        <w:left w:val="none" w:sz="0" w:space="0" w:color="auto"/>
        <w:bottom w:val="none" w:sz="0" w:space="0" w:color="auto"/>
        <w:right w:val="none" w:sz="0" w:space="0" w:color="auto"/>
      </w:divBdr>
    </w:div>
    <w:div w:id="1973635118">
      <w:marLeft w:val="0"/>
      <w:marRight w:val="0"/>
      <w:marTop w:val="0"/>
      <w:marBottom w:val="0"/>
      <w:divBdr>
        <w:top w:val="none" w:sz="0" w:space="0" w:color="auto"/>
        <w:left w:val="none" w:sz="0" w:space="0" w:color="auto"/>
        <w:bottom w:val="none" w:sz="0" w:space="0" w:color="auto"/>
        <w:right w:val="none" w:sz="0" w:space="0" w:color="auto"/>
      </w:divBdr>
    </w:div>
    <w:div w:id="1973635119">
      <w:marLeft w:val="0"/>
      <w:marRight w:val="0"/>
      <w:marTop w:val="0"/>
      <w:marBottom w:val="0"/>
      <w:divBdr>
        <w:top w:val="none" w:sz="0" w:space="0" w:color="auto"/>
        <w:left w:val="none" w:sz="0" w:space="0" w:color="auto"/>
        <w:bottom w:val="none" w:sz="0" w:space="0" w:color="auto"/>
        <w:right w:val="none" w:sz="0" w:space="0" w:color="auto"/>
      </w:divBdr>
    </w:div>
    <w:div w:id="1973635121">
      <w:marLeft w:val="0"/>
      <w:marRight w:val="0"/>
      <w:marTop w:val="0"/>
      <w:marBottom w:val="0"/>
      <w:divBdr>
        <w:top w:val="none" w:sz="0" w:space="0" w:color="auto"/>
        <w:left w:val="none" w:sz="0" w:space="0" w:color="auto"/>
        <w:bottom w:val="none" w:sz="0" w:space="0" w:color="auto"/>
        <w:right w:val="none" w:sz="0" w:space="0" w:color="auto"/>
      </w:divBdr>
      <w:divsChild>
        <w:div w:id="1973635126">
          <w:marLeft w:val="0"/>
          <w:marRight w:val="0"/>
          <w:marTop w:val="0"/>
          <w:marBottom w:val="0"/>
          <w:divBdr>
            <w:top w:val="none" w:sz="0" w:space="0" w:color="auto"/>
            <w:left w:val="none" w:sz="0" w:space="0" w:color="auto"/>
            <w:bottom w:val="none" w:sz="0" w:space="0" w:color="auto"/>
            <w:right w:val="none" w:sz="0" w:space="0" w:color="auto"/>
          </w:divBdr>
        </w:div>
      </w:divsChild>
    </w:div>
    <w:div w:id="1973635124">
      <w:marLeft w:val="0"/>
      <w:marRight w:val="0"/>
      <w:marTop w:val="0"/>
      <w:marBottom w:val="0"/>
      <w:divBdr>
        <w:top w:val="none" w:sz="0" w:space="0" w:color="auto"/>
        <w:left w:val="none" w:sz="0" w:space="0" w:color="auto"/>
        <w:bottom w:val="none" w:sz="0" w:space="0" w:color="auto"/>
        <w:right w:val="none" w:sz="0" w:space="0" w:color="auto"/>
      </w:divBdr>
      <w:divsChild>
        <w:div w:id="1973635122">
          <w:marLeft w:val="0"/>
          <w:marRight w:val="0"/>
          <w:marTop w:val="0"/>
          <w:marBottom w:val="0"/>
          <w:divBdr>
            <w:top w:val="none" w:sz="0" w:space="0" w:color="auto"/>
            <w:left w:val="none" w:sz="0" w:space="0" w:color="auto"/>
            <w:bottom w:val="none" w:sz="0" w:space="0" w:color="auto"/>
            <w:right w:val="none" w:sz="0" w:space="0" w:color="auto"/>
          </w:divBdr>
          <w:divsChild>
            <w:div w:id="1973635125">
              <w:marLeft w:val="0"/>
              <w:marRight w:val="0"/>
              <w:marTop w:val="0"/>
              <w:marBottom w:val="0"/>
              <w:divBdr>
                <w:top w:val="none" w:sz="0" w:space="0" w:color="auto"/>
                <w:left w:val="none" w:sz="0" w:space="0" w:color="auto"/>
                <w:bottom w:val="none" w:sz="0" w:space="0" w:color="auto"/>
                <w:right w:val="none" w:sz="0" w:space="0" w:color="auto"/>
              </w:divBdr>
              <w:divsChild>
                <w:div w:id="19736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5128">
      <w:marLeft w:val="0"/>
      <w:marRight w:val="0"/>
      <w:marTop w:val="0"/>
      <w:marBottom w:val="0"/>
      <w:divBdr>
        <w:top w:val="none" w:sz="0" w:space="0" w:color="auto"/>
        <w:left w:val="none" w:sz="0" w:space="0" w:color="auto"/>
        <w:bottom w:val="none" w:sz="0" w:space="0" w:color="auto"/>
        <w:right w:val="none" w:sz="0" w:space="0" w:color="auto"/>
      </w:divBdr>
      <w:divsChild>
        <w:div w:id="1973635120">
          <w:marLeft w:val="45"/>
          <w:marRight w:val="45"/>
          <w:marTop w:val="60"/>
          <w:marBottom w:val="15"/>
          <w:divBdr>
            <w:top w:val="single" w:sz="2" w:space="0" w:color="E9E6D1"/>
            <w:left w:val="single" w:sz="6" w:space="0" w:color="E9E6D1"/>
            <w:bottom w:val="single" w:sz="6" w:space="0" w:color="E9E6D1"/>
            <w:right w:val="single" w:sz="6" w:space="0" w:color="E9E6D1"/>
          </w:divBdr>
          <w:divsChild>
            <w:div w:id="1973635123">
              <w:marLeft w:val="0"/>
              <w:marRight w:val="0"/>
              <w:marTop w:val="0"/>
              <w:marBottom w:val="0"/>
              <w:divBdr>
                <w:top w:val="none" w:sz="0" w:space="0" w:color="auto"/>
                <w:left w:val="none" w:sz="0" w:space="0" w:color="auto"/>
                <w:bottom w:val="none" w:sz="0" w:space="0" w:color="auto"/>
                <w:right w:val="none" w:sz="0" w:space="0" w:color="auto"/>
              </w:divBdr>
              <w:divsChild>
                <w:div w:id="1973635127">
                  <w:marLeft w:val="0"/>
                  <w:marRight w:val="0"/>
                  <w:marTop w:val="240"/>
                  <w:marBottom w:val="0"/>
                  <w:divBdr>
                    <w:top w:val="single" w:sz="6" w:space="0" w:color="B7B387"/>
                    <w:left w:val="single" w:sz="6" w:space="12" w:color="B7B387"/>
                    <w:bottom w:val="single" w:sz="6" w:space="12" w:color="E5E3CB"/>
                    <w:right w:val="single" w:sz="6" w:space="12" w:color="E5E3CB"/>
                  </w:divBdr>
                  <w:divsChild>
                    <w:div w:id="19736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5143">
      <w:marLeft w:val="0"/>
      <w:marRight w:val="0"/>
      <w:marTop w:val="0"/>
      <w:marBottom w:val="0"/>
      <w:divBdr>
        <w:top w:val="none" w:sz="0" w:space="0" w:color="auto"/>
        <w:left w:val="none" w:sz="0" w:space="0" w:color="auto"/>
        <w:bottom w:val="none" w:sz="0" w:space="0" w:color="auto"/>
        <w:right w:val="none" w:sz="0" w:space="0" w:color="auto"/>
      </w:divBdr>
      <w:divsChild>
        <w:div w:id="1973635132">
          <w:marLeft w:val="120"/>
          <w:marRight w:val="75"/>
          <w:marTop w:val="0"/>
          <w:marBottom w:val="0"/>
          <w:divBdr>
            <w:top w:val="none" w:sz="0" w:space="0" w:color="auto"/>
            <w:left w:val="none" w:sz="0" w:space="0" w:color="auto"/>
            <w:bottom w:val="none" w:sz="0" w:space="0" w:color="auto"/>
            <w:right w:val="none" w:sz="0" w:space="0" w:color="auto"/>
          </w:divBdr>
          <w:divsChild>
            <w:div w:id="1973635139">
              <w:marLeft w:val="0"/>
              <w:marRight w:val="0"/>
              <w:marTop w:val="0"/>
              <w:marBottom w:val="0"/>
              <w:divBdr>
                <w:top w:val="none" w:sz="0" w:space="0" w:color="auto"/>
                <w:left w:val="none" w:sz="0" w:space="0" w:color="auto"/>
                <w:bottom w:val="none" w:sz="0" w:space="0" w:color="auto"/>
                <w:right w:val="none" w:sz="0" w:space="0" w:color="auto"/>
              </w:divBdr>
              <w:divsChild>
                <w:div w:id="1973635144">
                  <w:marLeft w:val="0"/>
                  <w:marRight w:val="0"/>
                  <w:marTop w:val="0"/>
                  <w:marBottom w:val="0"/>
                  <w:divBdr>
                    <w:top w:val="none" w:sz="0" w:space="0" w:color="auto"/>
                    <w:left w:val="none" w:sz="0" w:space="0" w:color="auto"/>
                    <w:bottom w:val="none" w:sz="0" w:space="0" w:color="auto"/>
                    <w:right w:val="none" w:sz="0" w:space="0" w:color="auto"/>
                  </w:divBdr>
                  <w:divsChild>
                    <w:div w:id="1973635140">
                      <w:marLeft w:val="0"/>
                      <w:marRight w:val="0"/>
                      <w:marTop w:val="0"/>
                      <w:marBottom w:val="0"/>
                      <w:divBdr>
                        <w:top w:val="single" w:sz="6" w:space="0" w:color="D2E0C0"/>
                        <w:left w:val="single" w:sz="6" w:space="0" w:color="D2E0C0"/>
                        <w:bottom w:val="single" w:sz="6" w:space="0" w:color="D2E0C0"/>
                        <w:right w:val="single" w:sz="6" w:space="0" w:color="D2E0C0"/>
                      </w:divBdr>
                      <w:divsChild>
                        <w:div w:id="1973635133">
                          <w:marLeft w:val="0"/>
                          <w:marRight w:val="5490"/>
                          <w:marTop w:val="0"/>
                          <w:marBottom w:val="0"/>
                          <w:divBdr>
                            <w:top w:val="none" w:sz="0" w:space="0" w:color="auto"/>
                            <w:left w:val="none" w:sz="0" w:space="0" w:color="auto"/>
                            <w:bottom w:val="none" w:sz="0" w:space="0" w:color="auto"/>
                            <w:right w:val="none" w:sz="0" w:space="0" w:color="auto"/>
                          </w:divBdr>
                          <w:divsChild>
                            <w:div w:id="1973635136">
                              <w:marLeft w:val="0"/>
                              <w:marRight w:val="0"/>
                              <w:marTop w:val="0"/>
                              <w:marBottom w:val="0"/>
                              <w:divBdr>
                                <w:top w:val="single" w:sz="6" w:space="0" w:color="D2E0C0"/>
                                <w:left w:val="none" w:sz="0" w:space="0" w:color="auto"/>
                                <w:bottom w:val="none" w:sz="0" w:space="0" w:color="auto"/>
                                <w:right w:val="none" w:sz="0" w:space="0" w:color="auto"/>
                              </w:divBdr>
                              <w:divsChild>
                                <w:div w:id="1973635131">
                                  <w:marLeft w:val="0"/>
                                  <w:marRight w:val="0"/>
                                  <w:marTop w:val="0"/>
                                  <w:marBottom w:val="0"/>
                                  <w:divBdr>
                                    <w:top w:val="single" w:sz="6" w:space="0" w:color="F7F8F4"/>
                                    <w:left w:val="none" w:sz="0" w:space="0" w:color="auto"/>
                                    <w:bottom w:val="none" w:sz="0" w:space="0" w:color="auto"/>
                                    <w:right w:val="none" w:sz="0" w:space="0" w:color="auto"/>
                                  </w:divBdr>
                                  <w:divsChild>
                                    <w:div w:id="1973635138">
                                      <w:marLeft w:val="0"/>
                                      <w:marRight w:val="0"/>
                                      <w:marTop w:val="0"/>
                                      <w:marBottom w:val="0"/>
                                      <w:divBdr>
                                        <w:top w:val="none" w:sz="0" w:space="0" w:color="auto"/>
                                        <w:left w:val="none" w:sz="0" w:space="0" w:color="auto"/>
                                        <w:bottom w:val="none" w:sz="0" w:space="0" w:color="auto"/>
                                        <w:right w:val="none" w:sz="0" w:space="0" w:color="auto"/>
                                      </w:divBdr>
                                      <w:divsChild>
                                        <w:div w:id="1973635146">
                                          <w:marLeft w:val="0"/>
                                          <w:marRight w:val="0"/>
                                          <w:marTop w:val="0"/>
                                          <w:marBottom w:val="0"/>
                                          <w:divBdr>
                                            <w:top w:val="none" w:sz="0" w:space="0" w:color="auto"/>
                                            <w:left w:val="none" w:sz="0" w:space="0" w:color="auto"/>
                                            <w:bottom w:val="none" w:sz="0" w:space="0" w:color="auto"/>
                                            <w:right w:val="none" w:sz="0" w:space="0" w:color="auto"/>
                                          </w:divBdr>
                                          <w:divsChild>
                                            <w:div w:id="1973635142">
                                              <w:marLeft w:val="0"/>
                                              <w:marRight w:val="0"/>
                                              <w:marTop w:val="0"/>
                                              <w:marBottom w:val="0"/>
                                              <w:divBdr>
                                                <w:top w:val="none" w:sz="0" w:space="0" w:color="auto"/>
                                                <w:left w:val="none" w:sz="0" w:space="0" w:color="auto"/>
                                                <w:bottom w:val="none" w:sz="0" w:space="0" w:color="auto"/>
                                                <w:right w:val="none" w:sz="0" w:space="0" w:color="auto"/>
                                              </w:divBdr>
                                              <w:divsChild>
                                                <w:div w:id="1973635137">
                                                  <w:marLeft w:val="45"/>
                                                  <w:marRight w:val="75"/>
                                                  <w:marTop w:val="0"/>
                                                  <w:marBottom w:val="0"/>
                                                  <w:divBdr>
                                                    <w:top w:val="none" w:sz="0" w:space="0" w:color="auto"/>
                                                    <w:left w:val="none" w:sz="0" w:space="0" w:color="auto"/>
                                                    <w:bottom w:val="none" w:sz="0" w:space="0" w:color="auto"/>
                                                    <w:right w:val="none" w:sz="0" w:space="0" w:color="auto"/>
                                                  </w:divBdr>
                                                  <w:divsChild>
                                                    <w:div w:id="1973635141">
                                                      <w:marLeft w:val="0"/>
                                                      <w:marRight w:val="0"/>
                                                      <w:marTop w:val="0"/>
                                                      <w:marBottom w:val="0"/>
                                                      <w:divBdr>
                                                        <w:top w:val="none" w:sz="0" w:space="0" w:color="auto"/>
                                                        <w:left w:val="none" w:sz="0" w:space="0" w:color="auto"/>
                                                        <w:bottom w:val="none" w:sz="0" w:space="0" w:color="auto"/>
                                                        <w:right w:val="none" w:sz="0" w:space="0" w:color="auto"/>
                                                      </w:divBdr>
                                                      <w:divsChild>
                                                        <w:div w:id="1973635135">
                                                          <w:marLeft w:val="0"/>
                                                          <w:marRight w:val="-24000"/>
                                                          <w:marTop w:val="0"/>
                                                          <w:marBottom w:val="0"/>
                                                          <w:divBdr>
                                                            <w:top w:val="none" w:sz="0" w:space="0" w:color="auto"/>
                                                            <w:left w:val="none" w:sz="0" w:space="0" w:color="auto"/>
                                                            <w:bottom w:val="none" w:sz="0" w:space="0" w:color="auto"/>
                                                            <w:right w:val="none" w:sz="0" w:space="0" w:color="auto"/>
                                                          </w:divBdr>
                                                          <w:divsChild>
                                                            <w:div w:id="1973635145">
                                                              <w:marLeft w:val="0"/>
                                                              <w:marRight w:val="0"/>
                                                              <w:marTop w:val="0"/>
                                                              <w:marBottom w:val="0"/>
                                                              <w:divBdr>
                                                                <w:top w:val="none" w:sz="0" w:space="0" w:color="auto"/>
                                                                <w:left w:val="none" w:sz="0" w:space="0" w:color="auto"/>
                                                                <w:bottom w:val="none" w:sz="0" w:space="0" w:color="auto"/>
                                                                <w:right w:val="none" w:sz="0" w:space="0" w:color="auto"/>
                                                              </w:divBdr>
                                                              <w:divsChild>
                                                                <w:div w:id="19736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3635150">
      <w:marLeft w:val="0"/>
      <w:marRight w:val="0"/>
      <w:marTop w:val="0"/>
      <w:marBottom w:val="0"/>
      <w:divBdr>
        <w:top w:val="none" w:sz="0" w:space="0" w:color="auto"/>
        <w:left w:val="none" w:sz="0" w:space="0" w:color="auto"/>
        <w:bottom w:val="none" w:sz="0" w:space="0" w:color="auto"/>
        <w:right w:val="none" w:sz="0" w:space="0" w:color="auto"/>
      </w:divBdr>
      <w:divsChild>
        <w:div w:id="1973635153">
          <w:marLeft w:val="45"/>
          <w:marRight w:val="45"/>
          <w:marTop w:val="60"/>
          <w:marBottom w:val="15"/>
          <w:divBdr>
            <w:top w:val="single" w:sz="2" w:space="0" w:color="E9E6D1"/>
            <w:left w:val="single" w:sz="6" w:space="0" w:color="E9E6D1"/>
            <w:bottom w:val="single" w:sz="6" w:space="0" w:color="E9E6D1"/>
            <w:right w:val="single" w:sz="6" w:space="0" w:color="E9E6D1"/>
          </w:divBdr>
          <w:divsChild>
            <w:div w:id="1973635149">
              <w:marLeft w:val="0"/>
              <w:marRight w:val="0"/>
              <w:marTop w:val="0"/>
              <w:marBottom w:val="0"/>
              <w:divBdr>
                <w:top w:val="none" w:sz="0" w:space="0" w:color="auto"/>
                <w:left w:val="none" w:sz="0" w:space="0" w:color="auto"/>
                <w:bottom w:val="none" w:sz="0" w:space="0" w:color="auto"/>
                <w:right w:val="none" w:sz="0" w:space="0" w:color="auto"/>
              </w:divBdr>
              <w:divsChild>
                <w:div w:id="1973635147">
                  <w:marLeft w:val="0"/>
                  <w:marRight w:val="0"/>
                  <w:marTop w:val="240"/>
                  <w:marBottom w:val="0"/>
                  <w:divBdr>
                    <w:top w:val="single" w:sz="6" w:space="0" w:color="B7B387"/>
                    <w:left w:val="single" w:sz="6" w:space="12" w:color="B7B387"/>
                    <w:bottom w:val="single" w:sz="6" w:space="12" w:color="E5E3CB"/>
                    <w:right w:val="single" w:sz="6" w:space="12" w:color="E5E3CB"/>
                  </w:divBdr>
                  <w:divsChild>
                    <w:div w:id="19736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5151">
      <w:marLeft w:val="0"/>
      <w:marRight w:val="0"/>
      <w:marTop w:val="0"/>
      <w:marBottom w:val="0"/>
      <w:divBdr>
        <w:top w:val="none" w:sz="0" w:space="0" w:color="auto"/>
        <w:left w:val="none" w:sz="0" w:space="0" w:color="auto"/>
        <w:bottom w:val="none" w:sz="0" w:space="0" w:color="auto"/>
        <w:right w:val="none" w:sz="0" w:space="0" w:color="auto"/>
      </w:divBdr>
      <w:divsChild>
        <w:div w:id="197363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yperlink" Target="http://www.jstor.org/stable/155495"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yperlink" Target="http://www.sciencedirect.com/science?_ob=ArticleURL&amp;_udi=B6V7S-49M6X19-1&amp;_user=427455&amp;_coverDate=03%2F31%2F2005&amp;_rdoc=1&amp;_fmt=high&amp;_orig=search&amp;_sort=d&amp;_docanchor=&amp;view=c&amp;_searchStrId=1317823729&amp;_rerunOrigin=scholar.google&amp;_acct=C000020498&amp;_version=1&amp;_urlVersion=0&amp;_userid=427455&amp;md5=9a4fb58a2c4c58ebf0511c5611426b69" TargetMode="External"/><Relationship Id="rId2" Type="http://schemas.openxmlformats.org/officeDocument/2006/relationships/styles" Target="styles.xml"/><Relationship Id="rId16" Type="http://schemas.openxmlformats.org/officeDocument/2006/relationships/hyperlink" Target="http://www.ris.org.in/dp97_pap.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jstor.org/action/showPublication?journalCode=jintebusistud"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ak@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18</Pages>
  <Words>5231</Words>
  <Characters>29819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Export barriers</vt:lpstr>
    </vt:vector>
  </TitlesOfParts>
  <Company/>
  <LinksUpToDate>false</LinksUpToDate>
  <CharactersWithSpaces>34981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barriers</dc:title>
  <dc:subject/>
  <dc:creator>sak</dc:creator>
  <cp:keywords/>
  <dc:description/>
  <cp:lastModifiedBy>Sangeeta</cp:lastModifiedBy>
  <cp:revision>63</cp:revision>
  <cp:lastPrinted>2010-04-30T14:13:00Z</cp:lastPrinted>
  <dcterms:created xsi:type="dcterms:W3CDTF">2010-04-30T10:03:00Z</dcterms:created>
  <dcterms:modified xsi:type="dcterms:W3CDTF">2010-05-01T00:35:00Z</dcterms:modified>
</cp:coreProperties>
</file>